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169545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189865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105"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393" w:lineRule="exact"/>
        <w:rPr>
          <w:sz w:val="24"/>
          <w:szCs w:val="24"/>
          <w:color w:val="auto"/>
        </w:rPr>
      </w:pPr>
    </w:p>
    <w:p>
      <w:pPr>
        <w:ind w:left="4640"/>
        <w:spacing w:after="0"/>
        <w:rPr>
          <w:sz w:val="20"/>
          <w:szCs w:val="20"/>
          <w:color w:val="auto"/>
        </w:rPr>
      </w:pPr>
      <w:r>
        <w:rPr>
          <w:rFonts w:ascii="Arial" w:cs="Arial" w:eastAsia="Arial" w:hAnsi="Arial"/>
          <w:sz w:val="17"/>
          <w:szCs w:val="17"/>
          <w:color w:val="auto"/>
        </w:rPr>
        <w:t>WASHINGTON, DC 20549</w:t>
      </w:r>
    </w:p>
    <w:p>
      <w:pPr>
        <w:spacing w:after="0" w:line="354" w:lineRule="exact"/>
        <w:rPr>
          <w:sz w:val="24"/>
          <w:szCs w:val="24"/>
          <w:color w:val="auto"/>
        </w:rPr>
      </w:pPr>
    </w:p>
    <w:p>
      <w:pPr>
        <w:ind w:left="4720"/>
        <w:spacing w:after="0"/>
        <w:rPr>
          <w:sz w:val="20"/>
          <w:szCs w:val="20"/>
          <w:color w:val="auto"/>
        </w:rPr>
      </w:pPr>
      <w:r>
        <w:rPr>
          <w:rFonts w:ascii="Arial" w:cs="Arial" w:eastAsia="Arial" w:hAnsi="Arial"/>
          <w:sz w:val="34"/>
          <w:szCs w:val="34"/>
          <w:b w:val="1"/>
          <w:bCs w:val="1"/>
          <w:color w:val="auto"/>
        </w:rPr>
        <w:t>FORM 10-Q</w:t>
      </w:r>
    </w:p>
    <w:p>
      <w:pPr>
        <w:spacing w:after="0" w:line="11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137" w:lineRule="exact"/>
        <w:rPr>
          <w:sz w:val="24"/>
          <w:szCs w:val="24"/>
          <w:color w:val="auto"/>
        </w:rPr>
      </w:pPr>
    </w:p>
    <w:p>
      <w:pPr>
        <w:ind w:left="400" w:hanging="381"/>
        <w:spacing w:after="0"/>
        <w:tabs>
          <w:tab w:leader="none" w:pos="4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76"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For the quarterly period ended June 30, 2022</w:t>
      </w:r>
    </w:p>
    <w:p>
      <w:pPr>
        <w:spacing w:after="0" w:line="95"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OR</w:t>
      </w:r>
    </w:p>
    <w:p>
      <w:pPr>
        <w:spacing w:after="0" w:line="126" w:lineRule="exact"/>
        <w:rPr>
          <w:sz w:val="24"/>
          <w:szCs w:val="24"/>
          <w:color w:val="auto"/>
        </w:rPr>
      </w:pPr>
    </w:p>
    <w:p>
      <w:pPr>
        <w:ind w:left="400" w:hanging="381"/>
        <w:spacing w:after="0"/>
        <w:tabs>
          <w:tab w:leader="none" w:pos="4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86" w:lineRule="exact"/>
        <w:rPr>
          <w:sz w:val="24"/>
          <w:szCs w:val="24"/>
          <w:color w:val="auto"/>
        </w:rPr>
      </w:pPr>
    </w:p>
    <w:p>
      <w:pPr>
        <w:ind w:left="4020"/>
        <w:spacing w:after="0"/>
        <w:tabs>
          <w:tab w:leader="none" w:pos="6400" w:val="left"/>
        </w:tabs>
        <w:rPr>
          <w:sz w:val="20"/>
          <w:szCs w:val="20"/>
          <w:color w:val="auto"/>
        </w:rPr>
      </w:pPr>
      <w:r>
        <w:rPr>
          <w:rFonts w:ascii="Arial" w:cs="Arial" w:eastAsia="Arial" w:hAnsi="Arial"/>
          <w:sz w:val="13"/>
          <w:szCs w:val="13"/>
          <w:color w:val="auto"/>
        </w:rPr>
        <w:t>For the transition period from</w:t>
      </w:r>
      <w:r>
        <w:rPr>
          <w:sz w:val="20"/>
          <w:szCs w:val="20"/>
          <w:color w:val="auto"/>
        </w:rPr>
        <w:tab/>
      </w:r>
      <w:r>
        <w:rPr>
          <w:rFonts w:ascii="Arial" w:cs="Arial" w:eastAsia="Arial" w:hAnsi="Arial"/>
          <w:sz w:val="13"/>
          <w:szCs w:val="13"/>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3608705</wp:posOffset>
            </wp:positionH>
            <wp:positionV relativeFrom="paragraph">
              <wp:posOffset>-6985</wp:posOffset>
            </wp:positionV>
            <wp:extent cx="10109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0920" cy="6985"/>
                    </a:xfrm>
                    <a:prstGeom prst="rect">
                      <a:avLst/>
                    </a:prstGeom>
                    <a:noFill/>
                  </pic:spPr>
                </pic:pic>
              </a:graphicData>
            </a:graphic>
          </wp:anchor>
        </w:drawing>
      </w:r>
    </w:p>
    <w:p>
      <w:pPr>
        <w:spacing w:after="0" w:line="340"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 xml:space="preserve">Commission File Number: </w:t>
      </w:r>
      <w:r>
        <w:rPr>
          <w:rFonts w:ascii="Arial" w:cs="Arial" w:eastAsia="Arial" w:hAnsi="Arial"/>
          <w:sz w:val="13"/>
          <w:szCs w:val="13"/>
          <w:b w:val="1"/>
          <w:bCs w:val="1"/>
          <w:color w:val="auto"/>
        </w:rPr>
        <w:t>001-39390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2745105</wp:posOffset>
            </wp:positionH>
            <wp:positionV relativeFrom="paragraph">
              <wp:posOffset>59690</wp:posOffset>
            </wp:positionV>
            <wp:extent cx="1684020" cy="882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4020" cy="882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120"/>
        <w:spacing w:after="0"/>
        <w:rPr>
          <w:sz w:val="20"/>
          <w:szCs w:val="20"/>
          <w:color w:val="auto"/>
        </w:rPr>
      </w:pPr>
      <w:r>
        <w:rPr>
          <w:rFonts w:ascii="Arial" w:cs="Arial" w:eastAsia="Arial" w:hAnsi="Arial"/>
          <w:sz w:val="34"/>
          <w:szCs w:val="34"/>
          <w:b w:val="1"/>
          <w:bCs w:val="1"/>
          <w:color w:val="auto"/>
        </w:rPr>
        <w:t>GoHealth, Inc.</w:t>
      </w:r>
    </w:p>
    <w:p>
      <w:pPr>
        <w:spacing w:after="0" w:line="110"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(Exact name of registrant as specified in its charter)</w:t>
      </w:r>
    </w:p>
    <w:p>
      <w:pPr>
        <w:spacing w:after="0" w:line="95" w:lineRule="exact"/>
        <w:rPr>
          <w:sz w:val="24"/>
          <w:szCs w:val="24"/>
          <w:color w:val="auto"/>
        </w:rPr>
      </w:pPr>
    </w:p>
    <w:p>
      <w:pPr>
        <w:ind w:left="4760"/>
        <w:spacing w:after="0"/>
        <w:rPr>
          <w:sz w:val="20"/>
          <w:szCs w:val="20"/>
          <w:color w:val="auto"/>
        </w:rPr>
      </w:pPr>
      <w:r>
        <w:rPr>
          <w:rFonts w:ascii="Arial" w:cs="Arial" w:eastAsia="Arial" w:hAnsi="Arial"/>
          <w:sz w:val="13"/>
          <w:szCs w:val="13"/>
          <w:color w:val="auto"/>
        </w:rPr>
        <w:t>_________________________</w:t>
      </w:r>
    </w:p>
    <w:p>
      <w:pPr>
        <w:spacing w:after="0" w:line="131" w:lineRule="exact"/>
        <w:rPr>
          <w:sz w:val="24"/>
          <w:szCs w:val="24"/>
          <w:color w:val="auto"/>
        </w:rPr>
      </w:pPr>
    </w:p>
    <w:tbl>
      <w:tblPr>
        <w:tblLayout w:type="fixed"/>
        <w:tblInd w:w="1180" w:type="dxa"/>
        <w:tblCellMar>
          <w:top w:w="0" w:type="dxa"/>
          <w:left w:w="0" w:type="dxa"/>
          <w:bottom w:w="0" w:type="dxa"/>
          <w:right w:w="0" w:type="dxa"/>
        </w:tblCellMar>
      </w:tblPr>
      <w:tr>
        <w:trPr>
          <w:trHeight w:val="154"/>
        </w:trPr>
        <w:tc>
          <w:tcPr>
            <w:tcW w:w="6120" w:type="dxa"/>
            <w:vAlign w:val="bottom"/>
          </w:tcPr>
          <w:p>
            <w:pPr>
              <w:jc w:val="center"/>
              <w:ind w:right="2799"/>
              <w:spacing w:after="0"/>
              <w:rPr>
                <w:sz w:val="20"/>
                <w:szCs w:val="20"/>
                <w:color w:val="auto"/>
              </w:rPr>
            </w:pPr>
            <w:r>
              <w:rPr>
                <w:rFonts w:ascii="Arial" w:cs="Arial" w:eastAsia="Arial" w:hAnsi="Arial"/>
                <w:sz w:val="11"/>
                <w:szCs w:val="11"/>
                <w:b w:val="1"/>
                <w:bCs w:val="1"/>
                <w:color w:val="auto"/>
              </w:rPr>
              <w:t>Delaware</w:t>
            </w:r>
          </w:p>
        </w:tc>
        <w:tc>
          <w:tcPr>
            <w:tcW w:w="2120" w:type="dxa"/>
            <w:vAlign w:val="bottom"/>
          </w:tcPr>
          <w:p>
            <w:pPr>
              <w:jc w:val="center"/>
              <w:ind w:left="100"/>
              <w:spacing w:after="0"/>
              <w:rPr>
                <w:sz w:val="20"/>
                <w:szCs w:val="20"/>
                <w:color w:val="auto"/>
              </w:rPr>
            </w:pPr>
            <w:r>
              <w:rPr>
                <w:rFonts w:ascii="Arial" w:cs="Arial" w:eastAsia="Arial" w:hAnsi="Arial"/>
                <w:sz w:val="11"/>
                <w:szCs w:val="11"/>
                <w:b w:val="1"/>
                <w:bCs w:val="1"/>
                <w:color w:val="auto"/>
              </w:rPr>
              <w:t>85-0563805</w:t>
            </w:r>
          </w:p>
        </w:tc>
      </w:tr>
      <w:tr>
        <w:trPr>
          <w:trHeight w:val="189"/>
        </w:trPr>
        <w:tc>
          <w:tcPr>
            <w:tcW w:w="6120" w:type="dxa"/>
            <w:vAlign w:val="bottom"/>
          </w:tcPr>
          <w:p>
            <w:pPr>
              <w:jc w:val="center"/>
              <w:ind w:right="2779"/>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2120" w:type="dxa"/>
            <w:vAlign w:val="bottom"/>
          </w:tcPr>
          <w:p>
            <w:pPr>
              <w:jc w:val="center"/>
              <w:ind w:left="100"/>
              <w:spacing w:after="0"/>
              <w:rPr>
                <w:sz w:val="20"/>
                <w:szCs w:val="20"/>
                <w:color w:val="auto"/>
              </w:rPr>
            </w:pPr>
            <w:r>
              <w:rPr>
                <w:rFonts w:ascii="Arial" w:cs="Arial" w:eastAsia="Arial" w:hAnsi="Arial"/>
                <w:sz w:val="13"/>
                <w:szCs w:val="13"/>
                <w:color w:val="auto"/>
                <w:w w:val="97"/>
              </w:rPr>
              <w:t>(I.R.S. Employer Identification No.)</w:t>
            </w:r>
          </w:p>
        </w:tc>
      </w:tr>
      <w:tr>
        <w:trPr>
          <w:trHeight w:val="384"/>
        </w:trPr>
        <w:tc>
          <w:tcPr>
            <w:tcW w:w="6120" w:type="dxa"/>
            <w:vAlign w:val="bottom"/>
          </w:tcPr>
          <w:p>
            <w:pPr>
              <w:jc w:val="center"/>
              <w:ind w:right="2859"/>
              <w:spacing w:after="0"/>
              <w:rPr>
                <w:sz w:val="20"/>
                <w:szCs w:val="20"/>
                <w:color w:val="auto"/>
              </w:rPr>
            </w:pPr>
            <w:r>
              <w:rPr>
                <w:rFonts w:ascii="Arial" w:cs="Arial" w:eastAsia="Arial" w:hAnsi="Arial"/>
                <w:sz w:val="11"/>
                <w:szCs w:val="11"/>
                <w:b w:val="1"/>
                <w:bCs w:val="1"/>
                <w:color w:val="auto"/>
              </w:rPr>
              <w:t>214 West Huron St.</w:t>
            </w:r>
          </w:p>
        </w:tc>
        <w:tc>
          <w:tcPr>
            <w:tcW w:w="2120" w:type="dxa"/>
            <w:vAlign w:val="bottom"/>
          </w:tcPr>
          <w:p>
            <w:pPr>
              <w:spacing w:after="0"/>
              <w:rPr>
                <w:sz w:val="24"/>
                <w:szCs w:val="24"/>
                <w:color w:val="auto"/>
              </w:rPr>
            </w:pPr>
          </w:p>
        </w:tc>
      </w:tr>
      <w:tr>
        <w:trPr>
          <w:trHeight w:val="202"/>
        </w:trPr>
        <w:tc>
          <w:tcPr>
            <w:tcW w:w="6120" w:type="dxa"/>
            <w:vAlign w:val="bottom"/>
          </w:tcPr>
          <w:p>
            <w:pPr>
              <w:ind w:left="1140"/>
              <w:spacing w:after="0"/>
              <w:rPr>
                <w:sz w:val="20"/>
                <w:szCs w:val="20"/>
                <w:color w:val="auto"/>
              </w:rPr>
            </w:pPr>
            <w:r>
              <w:rPr>
                <w:rFonts w:ascii="Arial" w:cs="Arial" w:eastAsia="Arial" w:hAnsi="Arial"/>
                <w:sz w:val="11"/>
                <w:szCs w:val="11"/>
                <w:b w:val="1"/>
                <w:bCs w:val="1"/>
                <w:color w:val="auto"/>
              </w:rPr>
              <w:t>Chicago, Illinois</w:t>
            </w:r>
          </w:p>
        </w:tc>
        <w:tc>
          <w:tcPr>
            <w:tcW w:w="2120" w:type="dxa"/>
            <w:vAlign w:val="bottom"/>
          </w:tcPr>
          <w:p>
            <w:pPr>
              <w:jc w:val="center"/>
              <w:ind w:left="60"/>
              <w:spacing w:after="0"/>
              <w:rPr>
                <w:sz w:val="20"/>
                <w:szCs w:val="20"/>
                <w:color w:val="auto"/>
              </w:rPr>
            </w:pPr>
            <w:r>
              <w:rPr>
                <w:rFonts w:ascii="Arial" w:cs="Arial" w:eastAsia="Arial" w:hAnsi="Arial"/>
                <w:sz w:val="11"/>
                <w:szCs w:val="11"/>
                <w:b w:val="1"/>
                <w:bCs w:val="1"/>
                <w:color w:val="auto"/>
              </w:rPr>
              <w:t>60654</w:t>
            </w:r>
          </w:p>
        </w:tc>
      </w:tr>
      <w:tr>
        <w:trPr>
          <w:trHeight w:val="189"/>
        </w:trPr>
        <w:tc>
          <w:tcPr>
            <w:tcW w:w="6120" w:type="dxa"/>
            <w:vAlign w:val="bottom"/>
          </w:tcPr>
          <w:p>
            <w:pPr>
              <w:jc w:val="center"/>
              <w:ind w:right="2859"/>
              <w:spacing w:after="0"/>
              <w:rPr>
                <w:sz w:val="20"/>
                <w:szCs w:val="20"/>
                <w:color w:val="auto"/>
              </w:rPr>
            </w:pPr>
            <w:r>
              <w:rPr>
                <w:rFonts w:ascii="Arial" w:cs="Arial" w:eastAsia="Arial" w:hAnsi="Arial"/>
                <w:sz w:val="13"/>
                <w:szCs w:val="13"/>
                <w:color w:val="auto"/>
                <w:w w:val="97"/>
              </w:rPr>
              <w:t>(Address of principal executive offices)</w:t>
            </w:r>
          </w:p>
        </w:tc>
        <w:tc>
          <w:tcPr>
            <w:tcW w:w="2120" w:type="dxa"/>
            <w:vAlign w:val="bottom"/>
          </w:tcPr>
          <w:p>
            <w:pPr>
              <w:jc w:val="center"/>
              <w:ind w:left="60"/>
              <w:spacing w:after="0"/>
              <w:rPr>
                <w:sz w:val="20"/>
                <w:szCs w:val="20"/>
                <w:color w:val="auto"/>
              </w:rPr>
            </w:pPr>
            <w:r>
              <w:rPr>
                <w:rFonts w:ascii="Arial" w:cs="Arial" w:eastAsia="Arial" w:hAnsi="Arial"/>
                <w:sz w:val="13"/>
                <w:szCs w:val="13"/>
                <w:color w:val="auto"/>
                <w:w w:val="97"/>
              </w:rPr>
              <w:t>(Zip Code)</w:t>
            </w:r>
          </w:p>
        </w:tc>
      </w:tr>
      <w:tr>
        <w:trPr>
          <w:trHeight w:val="335"/>
        </w:trPr>
        <w:tc>
          <w:tcPr>
            <w:tcW w:w="6120" w:type="dxa"/>
            <w:vAlign w:val="bottom"/>
          </w:tcPr>
          <w:p>
            <w:pPr>
              <w:jc w:val="center"/>
              <w:ind w:left="2739"/>
              <w:spacing w:after="0"/>
              <w:rPr>
                <w:sz w:val="20"/>
                <w:szCs w:val="20"/>
                <w:color w:val="auto"/>
              </w:rPr>
            </w:pPr>
            <w:r>
              <w:rPr>
                <w:rFonts w:ascii="Arial" w:cs="Arial" w:eastAsia="Arial" w:hAnsi="Arial"/>
                <w:sz w:val="13"/>
                <w:szCs w:val="13"/>
                <w:b w:val="1"/>
                <w:bCs w:val="1"/>
                <w:color w:val="auto"/>
                <w:w w:val="98"/>
              </w:rPr>
              <w:t>(312) 386-8200</w:t>
            </w:r>
          </w:p>
        </w:tc>
        <w:tc>
          <w:tcPr>
            <w:tcW w:w="2120" w:type="dxa"/>
            <w:vAlign w:val="bottom"/>
          </w:tcPr>
          <w:p>
            <w:pPr>
              <w:spacing w:after="0"/>
              <w:rPr>
                <w:sz w:val="24"/>
                <w:szCs w:val="24"/>
                <w:color w:val="auto"/>
              </w:rPr>
            </w:pPr>
          </w:p>
        </w:tc>
      </w:tr>
      <w:tr>
        <w:trPr>
          <w:trHeight w:val="227"/>
        </w:trPr>
        <w:tc>
          <w:tcPr>
            <w:tcW w:w="6120" w:type="dxa"/>
            <w:vAlign w:val="bottom"/>
          </w:tcPr>
          <w:p>
            <w:pPr>
              <w:jc w:val="center"/>
              <w:ind w:left="2759"/>
              <w:spacing w:after="0"/>
              <w:rPr>
                <w:sz w:val="20"/>
                <w:szCs w:val="20"/>
                <w:color w:val="auto"/>
              </w:rPr>
            </w:pPr>
            <w:r>
              <w:rPr>
                <w:rFonts w:ascii="Arial" w:cs="Arial" w:eastAsia="Arial" w:hAnsi="Arial"/>
                <w:sz w:val="13"/>
                <w:szCs w:val="13"/>
                <w:color w:val="auto"/>
                <w:w w:val="97"/>
              </w:rPr>
              <w:t>(Registrant’s telephone number, including area code)</w:t>
            </w:r>
          </w:p>
        </w:tc>
        <w:tc>
          <w:tcPr>
            <w:tcW w:w="2120" w:type="dxa"/>
            <w:vAlign w:val="bottom"/>
          </w:tcPr>
          <w:p>
            <w:pPr>
              <w:spacing w:after="0"/>
              <w:rPr>
                <w:sz w:val="19"/>
                <w:szCs w:val="19"/>
                <w:color w:val="auto"/>
              </w:rPr>
            </w:pPr>
          </w:p>
        </w:tc>
      </w:tr>
      <w:tr>
        <w:trPr>
          <w:trHeight w:val="239"/>
        </w:trPr>
        <w:tc>
          <w:tcPr>
            <w:tcW w:w="6120" w:type="dxa"/>
            <w:vAlign w:val="bottom"/>
          </w:tcPr>
          <w:p>
            <w:pPr>
              <w:jc w:val="center"/>
              <w:ind w:left="2759"/>
              <w:spacing w:after="0"/>
              <w:rPr>
                <w:sz w:val="20"/>
                <w:szCs w:val="20"/>
                <w:color w:val="auto"/>
              </w:rPr>
            </w:pPr>
            <w:r>
              <w:rPr>
                <w:rFonts w:ascii="Arial" w:cs="Arial" w:eastAsia="Arial" w:hAnsi="Arial"/>
                <w:sz w:val="13"/>
                <w:szCs w:val="13"/>
                <w:b w:val="1"/>
                <w:bCs w:val="1"/>
                <w:color w:val="auto"/>
                <w:w w:val="98"/>
              </w:rPr>
              <w:t>N/A</w:t>
            </w:r>
          </w:p>
        </w:tc>
        <w:tc>
          <w:tcPr>
            <w:tcW w:w="2120" w:type="dxa"/>
            <w:vAlign w:val="bottom"/>
          </w:tcPr>
          <w:p>
            <w:pPr>
              <w:spacing w:after="0"/>
              <w:rPr>
                <w:sz w:val="20"/>
                <w:szCs w:val="20"/>
                <w:color w:val="auto"/>
              </w:rPr>
            </w:pPr>
          </w:p>
        </w:tc>
      </w:tr>
    </w:tbl>
    <w:p>
      <w:pPr>
        <w:spacing w:after="0" w:line="71"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84" w:lineRule="exact"/>
        <w:rPr>
          <w:sz w:val="24"/>
          <w:szCs w:val="24"/>
          <w:color w:val="auto"/>
        </w:rPr>
      </w:pPr>
    </w:p>
    <w:p>
      <w:pPr>
        <w:ind w:left="4760"/>
        <w:spacing w:after="0"/>
        <w:rPr>
          <w:sz w:val="20"/>
          <w:szCs w:val="20"/>
          <w:color w:val="auto"/>
        </w:rPr>
      </w:pPr>
      <w:r>
        <w:rPr>
          <w:rFonts w:ascii="Arial" w:cs="Arial" w:eastAsia="Arial" w:hAnsi="Arial"/>
          <w:sz w:val="13"/>
          <w:szCs w:val="13"/>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9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378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268"/>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7"/>
              </w:rPr>
              <w:t>Name of each exchange</w:t>
            </w:r>
          </w:p>
        </w:tc>
      </w:tr>
      <w:tr>
        <w:trPr>
          <w:trHeight w:val="17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00" w:type="dxa"/>
            <w:vAlign w:val="bottom"/>
          </w:tcPr>
          <w:p>
            <w:pPr>
              <w:spacing w:after="0"/>
              <w:rPr>
                <w:sz w:val="15"/>
                <w:szCs w:val="15"/>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 w:type="dxa"/>
            <w:vAlign w:val="bottom"/>
          </w:tcPr>
          <w:p>
            <w:pPr>
              <w:spacing w:after="0"/>
              <w:rPr>
                <w:sz w:val="15"/>
                <w:szCs w:val="15"/>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on which registered</w:t>
            </w:r>
          </w:p>
        </w:tc>
      </w:tr>
      <w:tr>
        <w:trPr>
          <w:trHeight w:val="164"/>
        </w:trPr>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Class A 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GOCO</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Market</w:t>
            </w:r>
          </w:p>
        </w:tc>
      </w:tr>
      <w:tr>
        <w:trPr>
          <w:trHeight w:val="167"/>
        </w:trPr>
        <w:tc>
          <w:tcPr>
            <w:tcW w:w="37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$0.0001 par value per share</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bl>
    <w:p>
      <w:pPr>
        <w:spacing w:after="0" w:line="162" w:lineRule="exact"/>
        <w:rPr>
          <w:sz w:val="20"/>
          <w:szCs w:val="20"/>
          <w:color w:val="auto"/>
        </w:rPr>
      </w:pPr>
    </w:p>
    <w:p>
      <w:pPr>
        <w:ind w:right="220"/>
        <w:spacing w:after="0" w:line="16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65" w:lineRule="exact"/>
        <w:rPr>
          <w:sz w:val="20"/>
          <w:szCs w:val="20"/>
          <w:color w:val="auto"/>
        </w:rPr>
      </w:pPr>
    </w:p>
    <w:p>
      <w:pPr>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65"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31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220" w:type="dxa"/>
            <w:vAlign w:val="bottom"/>
          </w:tcPr>
          <w:p>
            <w:pPr>
              <w:ind w:left="194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3480" w:type="dxa"/>
            <w:vAlign w:val="bottom"/>
          </w:tcPr>
          <w:p>
            <w:pPr>
              <w:ind w:left="140"/>
              <w:spacing w:after="0"/>
              <w:rPr>
                <w:sz w:val="20"/>
                <w:szCs w:val="20"/>
                <w:color w:val="auto"/>
              </w:rPr>
            </w:pPr>
            <w:r>
              <w:rPr>
                <w:rFonts w:ascii="Arial" w:cs="Arial" w:eastAsia="Arial" w:hAnsi="Arial"/>
                <w:sz w:val="13"/>
                <w:szCs w:val="13"/>
                <w:color w:val="auto"/>
              </w:rPr>
              <w:t>Smaller reporting company</w:t>
            </w:r>
          </w:p>
        </w:tc>
        <w:tc>
          <w:tcPr>
            <w:tcW w:w="1920" w:type="dxa"/>
            <w:vAlign w:val="bottom"/>
          </w:tcPr>
          <w:p>
            <w:pPr>
              <w:ind w:left="1800"/>
              <w:spacing w:after="0" w:line="131" w:lineRule="exact"/>
              <w:rPr>
                <w:sz w:val="20"/>
                <w:szCs w:val="20"/>
                <w:color w:val="auto"/>
              </w:rPr>
            </w:pPr>
            <w:r>
              <w:rPr>
                <w:rFonts w:ascii="MS PGothic" w:cs="MS PGothic" w:eastAsia="MS PGothic" w:hAnsi="MS PGothic"/>
                <w:sz w:val="13"/>
                <w:szCs w:val="13"/>
                <w:color w:val="auto"/>
                <w:highlight w:val="black"/>
                <w:w w:val="76"/>
              </w:rPr>
              <w:t>☒</w:t>
            </w:r>
          </w:p>
        </w:tc>
      </w:tr>
      <w:tr>
        <w:trPr>
          <w:trHeight w:val="191"/>
        </w:trPr>
        <w:tc>
          <w:tcPr>
            <w:tcW w:w="3180" w:type="dxa"/>
            <w:vAlign w:val="bottom"/>
          </w:tcPr>
          <w:p>
            <w:pPr>
              <w:spacing w:after="0"/>
              <w:rPr>
                <w:sz w:val="20"/>
                <w:szCs w:val="20"/>
                <w:color w:val="auto"/>
              </w:rPr>
            </w:pPr>
            <w:r>
              <w:rPr>
                <w:rFonts w:ascii="Arial" w:cs="Arial" w:eastAsia="Arial" w:hAnsi="Arial"/>
                <w:sz w:val="13"/>
                <w:szCs w:val="13"/>
                <w:color w:val="auto"/>
              </w:rPr>
              <w:t>Non-accelerated filer</w:t>
            </w:r>
          </w:p>
        </w:tc>
        <w:tc>
          <w:tcPr>
            <w:tcW w:w="2220" w:type="dxa"/>
            <w:vAlign w:val="bottom"/>
          </w:tcPr>
          <w:p>
            <w:pPr>
              <w:ind w:left="194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3480" w:type="dxa"/>
            <w:vAlign w:val="bottom"/>
          </w:tcPr>
          <w:p>
            <w:pPr>
              <w:ind w:left="140"/>
              <w:spacing w:after="0"/>
              <w:rPr>
                <w:sz w:val="20"/>
                <w:szCs w:val="20"/>
                <w:color w:val="auto"/>
              </w:rPr>
            </w:pPr>
            <w:r>
              <w:rPr>
                <w:rFonts w:ascii="Arial" w:cs="Arial" w:eastAsia="Arial" w:hAnsi="Arial"/>
                <w:sz w:val="13"/>
                <w:szCs w:val="13"/>
                <w:color w:val="auto"/>
              </w:rPr>
              <w:t>Emerging growth company</w:t>
            </w:r>
          </w:p>
        </w:tc>
        <w:tc>
          <w:tcPr>
            <w:tcW w:w="1920" w:type="dxa"/>
            <w:vAlign w:val="bottom"/>
          </w:tcPr>
          <w:p>
            <w:pPr>
              <w:ind w:left="1800"/>
              <w:spacing w:after="0" w:line="131" w:lineRule="exact"/>
              <w:rPr>
                <w:sz w:val="20"/>
                <w:szCs w:val="20"/>
                <w:color w:val="auto"/>
              </w:rPr>
            </w:pPr>
            <w:r>
              <w:rPr>
                <w:rFonts w:ascii="MS PGothic" w:cs="MS PGothic" w:eastAsia="MS PGothic" w:hAnsi="MS PGothic"/>
                <w:sz w:val="13"/>
                <w:szCs w:val="13"/>
                <w:color w:val="auto"/>
                <w:highlight w:val="black"/>
                <w:w w:val="76"/>
              </w:rPr>
              <w:t>☐</w:t>
            </w:r>
          </w:p>
        </w:tc>
      </w:tr>
      <w:tr>
        <w:trPr>
          <w:trHeight w:val="200"/>
        </w:trPr>
        <w:tc>
          <w:tcPr>
            <w:tcW w:w="3180" w:type="dxa"/>
            <w:vAlign w:val="bottom"/>
          </w:tcPr>
          <w:p>
            <w:pPr>
              <w:spacing w:after="0"/>
              <w:rPr>
                <w:sz w:val="20"/>
                <w:szCs w:val="20"/>
                <w:color w:val="auto"/>
              </w:rPr>
            </w:pPr>
            <w:r>
              <w:rPr>
                <w:rFonts w:ascii="Arial" w:cs="Arial" w:eastAsia="Arial" w:hAnsi="Arial"/>
                <w:sz w:val="13"/>
                <w:szCs w:val="13"/>
                <w:color w:val="auto"/>
              </w:rPr>
              <w:t>Accelerated filer</w:t>
            </w:r>
          </w:p>
        </w:tc>
        <w:tc>
          <w:tcPr>
            <w:tcW w:w="2220" w:type="dxa"/>
            <w:vAlign w:val="bottom"/>
          </w:tcPr>
          <w:p>
            <w:pPr>
              <w:ind w:left="194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348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spacing w:after="0" w:line="150" w:lineRule="exact"/>
        <w:rPr>
          <w:sz w:val="20"/>
          <w:szCs w:val="20"/>
          <w:color w:val="auto"/>
        </w:rPr>
      </w:pPr>
    </w:p>
    <w:p>
      <w:pPr>
        <w:ind w:right="320"/>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highlight w:val="black"/>
        </w:rPr>
        <w:t>☐</w:t>
      </w:r>
    </w:p>
    <w:p>
      <w:pPr>
        <w:spacing w:after="0" w:line="44" w:lineRule="exact"/>
        <w:rPr>
          <w:sz w:val="20"/>
          <w:szCs w:val="20"/>
          <w:color w:val="auto"/>
        </w:rPr>
      </w:pPr>
    </w:p>
    <w:p>
      <w:pPr>
        <w:spacing w:after="0" w:line="150" w:lineRule="exact"/>
        <w:tabs>
          <w:tab w:leader="none" w:pos="6480" w:val="left"/>
          <w:tab w:leader="none" w:pos="7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highlight w:val="black"/>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highlight w:val="black"/>
        </w:rPr>
        <w:t>☒</w:t>
      </w:r>
    </w:p>
    <w:p>
      <w:pPr>
        <w:spacing w:after="0" w:line="105"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As of August 8, 2022, the registrant had 132,157,355 shares of Class A common stock, $0.0001 par value per share, outstanding and 197,128,400 shares of Class B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403225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288290</wp:posOffset>
            </wp:positionV>
            <wp:extent cx="71481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308610</wp:posOffset>
            </wp:positionV>
            <wp:extent cx="71481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40"/>
          </w:cols>
          <w:pgMar w:left="300" w:top="98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gridSpan w:val="9"/>
          </w:tcPr>
          <w:p>
            <w:pPr>
              <w:jc w:val="center"/>
              <w:ind w:right="2500"/>
              <w:spacing w:after="0"/>
              <w:rPr>
                <w:sz w:val="20"/>
                <w:szCs w:val="20"/>
                <w:color w:val="auto"/>
              </w:rPr>
            </w:pPr>
            <w:r>
              <w:rPr>
                <w:rFonts w:ascii="Arial" w:cs="Arial" w:eastAsia="Arial" w:hAnsi="Arial"/>
                <w:sz w:val="13"/>
                <w:szCs w:val="13"/>
                <w:b w:val="1"/>
                <w:bCs w:val="1"/>
                <w:color w:val="auto"/>
                <w:w w:val="97"/>
              </w:rPr>
              <w:t>TABLE OF CONTENTS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40" w:type="dxa"/>
            <w:vAlign w:val="bottom"/>
            <w:gridSpan w:val="4"/>
          </w:tcPr>
          <w:p>
            <w:pPr>
              <w:ind w:left="1320"/>
              <w:spacing w:after="0"/>
              <w:rPr>
                <w:sz w:val="20"/>
                <w:szCs w:val="20"/>
                <w:color w:val="auto"/>
              </w:rPr>
            </w:pPr>
            <w:r>
              <w:rPr>
                <w:rFonts w:ascii="Arial" w:cs="Arial" w:eastAsia="Arial" w:hAnsi="Arial"/>
                <w:sz w:val="13"/>
                <w:szCs w:val="13"/>
                <w:color w:val="auto"/>
              </w:rPr>
              <w:t>PAGE</w:t>
            </w:r>
          </w:p>
        </w:tc>
      </w:tr>
      <w:tr>
        <w:trPr>
          <w:trHeight w:val="171"/>
        </w:trPr>
        <w:tc>
          <w:tcPr>
            <w:tcW w:w="1220" w:type="dxa"/>
            <w:vAlign w:val="bottom"/>
            <w:shd w:val="clear" w:color="auto" w:fill="00497F"/>
          </w:tcPr>
          <w:p>
            <w:pPr>
              <w:spacing w:after="0"/>
              <w:rPr>
                <w:sz w:val="14"/>
                <w:szCs w:val="14"/>
                <w:color w:val="auto"/>
              </w:rPr>
            </w:pPr>
          </w:p>
        </w:tc>
        <w:tc>
          <w:tcPr>
            <w:tcW w:w="180" w:type="dxa"/>
            <w:vAlign w:val="bottom"/>
            <w:shd w:val="clear" w:color="auto" w:fill="00497F"/>
          </w:tcPr>
          <w:p>
            <w:pPr>
              <w:spacing w:after="0"/>
              <w:rPr>
                <w:sz w:val="14"/>
                <w:szCs w:val="14"/>
                <w:color w:val="auto"/>
              </w:rPr>
            </w:pPr>
          </w:p>
        </w:tc>
        <w:tc>
          <w:tcPr>
            <w:tcW w:w="440" w:type="dxa"/>
            <w:vAlign w:val="bottom"/>
            <w:shd w:val="clear" w:color="auto" w:fill="00497F"/>
          </w:tcPr>
          <w:p>
            <w:pPr>
              <w:spacing w:after="0"/>
              <w:rPr>
                <w:sz w:val="14"/>
                <w:szCs w:val="14"/>
                <w:color w:val="auto"/>
              </w:rPr>
            </w:pPr>
          </w:p>
        </w:tc>
        <w:tc>
          <w:tcPr>
            <w:tcW w:w="200" w:type="dxa"/>
            <w:vAlign w:val="bottom"/>
            <w:shd w:val="clear" w:color="auto" w:fill="00497F"/>
          </w:tcPr>
          <w:p>
            <w:pPr>
              <w:spacing w:after="0"/>
              <w:rPr>
                <w:sz w:val="14"/>
                <w:szCs w:val="14"/>
                <w:color w:val="auto"/>
              </w:rPr>
            </w:pPr>
          </w:p>
        </w:tc>
        <w:tc>
          <w:tcPr>
            <w:tcW w:w="160" w:type="dxa"/>
            <w:vAlign w:val="bottom"/>
            <w:shd w:val="clear" w:color="auto" w:fill="00497F"/>
          </w:tcPr>
          <w:p>
            <w:pPr>
              <w:spacing w:after="0"/>
              <w:rPr>
                <w:sz w:val="14"/>
                <w:szCs w:val="14"/>
                <w:color w:val="auto"/>
              </w:rPr>
            </w:pPr>
          </w:p>
        </w:tc>
        <w:tc>
          <w:tcPr>
            <w:tcW w:w="420" w:type="dxa"/>
            <w:vAlign w:val="bottom"/>
            <w:shd w:val="clear" w:color="auto" w:fill="00497F"/>
          </w:tcPr>
          <w:p>
            <w:pPr>
              <w:spacing w:after="0"/>
              <w:rPr>
                <w:sz w:val="14"/>
                <w:szCs w:val="14"/>
                <w:color w:val="auto"/>
              </w:rPr>
            </w:pPr>
          </w:p>
        </w:tc>
        <w:tc>
          <w:tcPr>
            <w:tcW w:w="180" w:type="dxa"/>
            <w:vAlign w:val="bottom"/>
            <w:tcBorders>
              <w:left w:val="single" w:sz="8" w:color="00497F"/>
            </w:tcBorders>
            <w:shd w:val="clear" w:color="auto" w:fill="00497F"/>
          </w:tcPr>
          <w:p>
            <w:pPr>
              <w:spacing w:after="0"/>
              <w:rPr>
                <w:sz w:val="14"/>
                <w:szCs w:val="14"/>
                <w:color w:val="auto"/>
              </w:rPr>
            </w:pPr>
          </w:p>
        </w:tc>
        <w:tc>
          <w:tcPr>
            <w:tcW w:w="260" w:type="dxa"/>
            <w:vAlign w:val="bottom"/>
            <w:shd w:val="clear" w:color="auto" w:fill="00497F"/>
          </w:tcPr>
          <w:p>
            <w:pPr>
              <w:spacing w:after="0"/>
              <w:rPr>
                <w:sz w:val="14"/>
                <w:szCs w:val="14"/>
                <w:color w:val="auto"/>
              </w:rPr>
            </w:pPr>
          </w:p>
        </w:tc>
        <w:tc>
          <w:tcPr>
            <w:tcW w:w="140" w:type="dxa"/>
            <w:vAlign w:val="bottom"/>
            <w:shd w:val="clear" w:color="auto" w:fill="00497F"/>
          </w:tcPr>
          <w:p>
            <w:pPr>
              <w:spacing w:after="0"/>
              <w:rPr>
                <w:sz w:val="14"/>
                <w:szCs w:val="14"/>
                <w:color w:val="auto"/>
              </w:rPr>
            </w:pPr>
          </w:p>
        </w:tc>
        <w:tc>
          <w:tcPr>
            <w:tcW w:w="360" w:type="dxa"/>
            <w:vAlign w:val="bottom"/>
            <w:shd w:val="clear" w:color="auto" w:fill="00497F"/>
          </w:tcPr>
          <w:p>
            <w:pPr>
              <w:spacing w:after="0"/>
              <w:rPr>
                <w:sz w:val="14"/>
                <w:szCs w:val="14"/>
                <w:color w:val="auto"/>
              </w:rPr>
            </w:pPr>
          </w:p>
        </w:tc>
        <w:tc>
          <w:tcPr>
            <w:tcW w:w="860" w:type="dxa"/>
            <w:vAlign w:val="bottom"/>
            <w:shd w:val="clear" w:color="auto" w:fill="00497F"/>
          </w:tcPr>
          <w:p>
            <w:pPr>
              <w:spacing w:after="0"/>
              <w:rPr>
                <w:sz w:val="14"/>
                <w:szCs w:val="14"/>
                <w:color w:val="auto"/>
              </w:rPr>
            </w:pPr>
          </w:p>
        </w:tc>
        <w:tc>
          <w:tcPr>
            <w:tcW w:w="4720" w:type="dxa"/>
            <w:vAlign w:val="bottom"/>
            <w:gridSpan w:val="10"/>
            <w:shd w:val="clear" w:color="auto" w:fill="00497F"/>
          </w:tcPr>
          <w:p>
            <w:pPr>
              <w:jc w:val="center"/>
              <w:ind w:right="2280"/>
              <w:spacing w:after="0"/>
              <w:rPr>
                <w:sz w:val="20"/>
                <w:szCs w:val="20"/>
                <w:color w:val="auto"/>
              </w:rPr>
            </w:pPr>
            <w:r>
              <w:rPr>
                <w:rFonts w:ascii="Arial" w:cs="Arial" w:eastAsia="Arial" w:hAnsi="Arial"/>
                <w:sz w:val="13"/>
                <w:szCs w:val="13"/>
                <w:b w:val="1"/>
                <w:bCs w:val="1"/>
                <w:color w:val="FFFFFF"/>
                <w:w w:val="96"/>
              </w:rPr>
              <w:t>PART I - FINANCIAL INFORMATION</w:t>
            </w:r>
          </w:p>
        </w:tc>
        <w:tc>
          <w:tcPr>
            <w:tcW w:w="1420" w:type="dxa"/>
            <w:vAlign w:val="bottom"/>
            <w:shd w:val="clear" w:color="auto" w:fill="00497F"/>
          </w:tcPr>
          <w:p>
            <w:pPr>
              <w:spacing w:after="0"/>
              <w:rPr>
                <w:sz w:val="14"/>
                <w:szCs w:val="14"/>
                <w:color w:val="auto"/>
              </w:rPr>
            </w:pPr>
          </w:p>
        </w:tc>
        <w:tc>
          <w:tcPr>
            <w:tcW w:w="100" w:type="dxa"/>
            <w:vAlign w:val="bottom"/>
            <w:tcBorders>
              <w:right w:val="single" w:sz="8" w:color="00497F"/>
            </w:tcBorders>
            <w:shd w:val="clear" w:color="auto" w:fill="00497F"/>
          </w:tcPr>
          <w:p>
            <w:pPr>
              <w:spacing w:after="0"/>
              <w:rPr>
                <w:sz w:val="14"/>
                <w:szCs w:val="14"/>
                <w:color w:val="auto"/>
              </w:rPr>
            </w:pPr>
          </w:p>
        </w:tc>
        <w:tc>
          <w:tcPr>
            <w:tcW w:w="40" w:type="dxa"/>
            <w:vAlign w:val="bottom"/>
            <w:shd w:val="clear" w:color="auto" w:fill="00497F"/>
          </w:tcPr>
          <w:p>
            <w:pPr>
              <w:spacing w:after="0"/>
              <w:rPr>
                <w:sz w:val="14"/>
                <w:szCs w:val="14"/>
                <w:color w:val="auto"/>
              </w:rPr>
            </w:pPr>
          </w:p>
        </w:tc>
        <w:tc>
          <w:tcPr>
            <w:tcW w:w="580" w:type="dxa"/>
            <w:vAlign w:val="bottom"/>
            <w:shd w:val="clear" w:color="auto" w:fill="00497F"/>
          </w:tcPr>
          <w:p>
            <w:pPr>
              <w:spacing w:after="0"/>
              <w:rPr>
                <w:sz w:val="14"/>
                <w:szCs w:val="14"/>
                <w:color w:val="auto"/>
              </w:rPr>
            </w:pPr>
          </w:p>
        </w:tc>
      </w:tr>
      <w:tr>
        <w:trPr>
          <w:trHeight w:val="138"/>
        </w:trPr>
        <w:tc>
          <w:tcPr>
            <w:tcW w:w="1220" w:type="dxa"/>
            <w:vAlign w:val="bottom"/>
          </w:tcPr>
          <w:p>
            <w:pPr>
              <w:ind w:left="20"/>
              <w:spacing w:after="0" w:line="138" w:lineRule="exact"/>
              <w:rPr>
                <w:sz w:val="20"/>
                <w:szCs w:val="20"/>
                <w:color w:val="auto"/>
              </w:rPr>
            </w:pPr>
            <w:r>
              <w:rPr>
                <w:rFonts w:ascii="Arial" w:cs="Arial" w:eastAsia="Arial" w:hAnsi="Arial"/>
                <w:sz w:val="13"/>
                <w:szCs w:val="13"/>
                <w:color w:val="auto"/>
              </w:rPr>
              <w:t>ITEM 1.</w:t>
            </w:r>
          </w:p>
        </w:tc>
        <w:tc>
          <w:tcPr>
            <w:tcW w:w="7920" w:type="dxa"/>
            <w:vAlign w:val="bottom"/>
            <w:gridSpan w:val="20"/>
          </w:tcPr>
          <w:p>
            <w:pPr>
              <w:spacing w:after="0" w:line="138" w:lineRule="exact"/>
              <w:rPr>
                <w:sz w:val="20"/>
                <w:szCs w:val="20"/>
                <w:color w:val="auto"/>
              </w:rPr>
            </w:pPr>
            <w:r>
              <w:rPr>
                <w:rFonts w:ascii="Arial" w:cs="Arial" w:eastAsia="Arial" w:hAnsi="Arial"/>
                <w:sz w:val="13"/>
                <w:szCs w:val="13"/>
                <w:color w:val="0000FF"/>
              </w:rPr>
              <w:t>FINANCIAL STATEMENTS.</w:t>
            </w:r>
          </w:p>
        </w:tc>
        <w:tc>
          <w:tcPr>
            <w:tcW w:w="1560" w:type="dxa"/>
            <w:vAlign w:val="bottom"/>
            <w:gridSpan w:val="3"/>
          </w:tcPr>
          <w:p>
            <w:pPr>
              <w:jc w:val="center"/>
              <w:ind w:left="1356"/>
              <w:spacing w:after="0" w:line="138" w:lineRule="exact"/>
              <w:rPr>
                <w:sz w:val="20"/>
                <w:szCs w:val="20"/>
                <w:color w:val="auto"/>
              </w:rPr>
            </w:pPr>
            <w:r>
              <w:rPr>
                <w:rFonts w:ascii="Arial" w:cs="Arial" w:eastAsia="Arial" w:hAnsi="Arial"/>
                <w:sz w:val="13"/>
                <w:szCs w:val="13"/>
                <w:color w:val="0000FF"/>
                <w:w w:val="82"/>
              </w:rPr>
              <w:t>4</w:t>
            </w:r>
          </w:p>
        </w:tc>
        <w:tc>
          <w:tcPr>
            <w:tcW w:w="58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7920" w:type="dxa"/>
            <w:vAlign w:val="bottom"/>
            <w:gridSpan w:val="20"/>
          </w:tcPr>
          <w:p>
            <w:pPr>
              <w:spacing w:after="0"/>
              <w:rPr>
                <w:sz w:val="20"/>
                <w:szCs w:val="20"/>
                <w:color w:val="auto"/>
              </w:rPr>
            </w:pPr>
            <w:r>
              <w:rPr>
                <w:rFonts w:ascii="Arial" w:cs="Arial" w:eastAsia="Arial" w:hAnsi="Arial"/>
                <w:sz w:val="13"/>
                <w:szCs w:val="13"/>
                <w:color w:val="0000FF"/>
              </w:rPr>
              <w:t>CONDENSED CONSOLIDATED FINANCIAL STATEMENTS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4</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740" w:type="dxa"/>
            <w:vAlign w:val="bottom"/>
            <w:gridSpan w:val="19"/>
          </w:tcPr>
          <w:p>
            <w:pPr>
              <w:spacing w:after="0"/>
              <w:rPr>
                <w:sz w:val="20"/>
                <w:szCs w:val="20"/>
                <w:color w:val="auto"/>
              </w:rPr>
            </w:pPr>
            <w:r>
              <w:rPr>
                <w:rFonts w:ascii="Arial" w:cs="Arial" w:eastAsia="Arial" w:hAnsi="Arial"/>
                <w:sz w:val="13"/>
                <w:szCs w:val="13"/>
                <w:color w:val="0000FF"/>
              </w:rPr>
              <w:t>CONDENSED CONSOLIDATED STATEMENTS OF OPERATIONS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4</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740" w:type="dxa"/>
            <w:vAlign w:val="bottom"/>
            <w:gridSpan w:val="19"/>
          </w:tcPr>
          <w:p>
            <w:pPr>
              <w:spacing w:after="0"/>
              <w:rPr>
                <w:sz w:val="20"/>
                <w:szCs w:val="20"/>
                <w:color w:val="auto"/>
              </w:rPr>
            </w:pPr>
            <w:r>
              <w:rPr>
                <w:rFonts w:ascii="Arial" w:cs="Arial" w:eastAsia="Arial" w:hAnsi="Arial"/>
                <w:sz w:val="13"/>
                <w:szCs w:val="13"/>
                <w:color w:val="0000FF"/>
              </w:rPr>
              <w:t>CONDENSED CONSOLIDATED STATEMENTS OF COMPREHENSIVE INCOME (LOSS)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5</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20" w:type="dxa"/>
            <w:vAlign w:val="bottom"/>
            <w:gridSpan w:val="9"/>
          </w:tcPr>
          <w:p>
            <w:pPr>
              <w:spacing w:after="0"/>
              <w:rPr>
                <w:sz w:val="20"/>
                <w:szCs w:val="20"/>
                <w:color w:val="auto"/>
              </w:rPr>
            </w:pPr>
            <w:r>
              <w:rPr>
                <w:rFonts w:ascii="Arial" w:cs="Arial" w:eastAsia="Arial" w:hAnsi="Arial"/>
                <w:sz w:val="13"/>
                <w:szCs w:val="13"/>
                <w:color w:val="0000FF"/>
                <w:w w:val="97"/>
              </w:rPr>
              <w:t>CONDENSED CONSOLIDATED BALANCE SHEETS</w:t>
            </w:r>
          </w:p>
        </w:tc>
        <w:tc>
          <w:tcPr>
            <w:tcW w:w="2060" w:type="dxa"/>
            <w:vAlign w:val="bottom"/>
            <w:gridSpan w:val="7"/>
          </w:tcPr>
          <w:p>
            <w:pPr>
              <w:spacing w:after="0"/>
              <w:rPr>
                <w:sz w:val="13"/>
                <w:szCs w:val="13"/>
                <w:color w:val="auto"/>
              </w:rPr>
            </w:pPr>
          </w:p>
        </w:tc>
        <w:tc>
          <w:tcPr>
            <w:tcW w:w="2660" w:type="dxa"/>
            <w:vAlign w:val="bottom"/>
            <w:gridSpan w:val="3"/>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6</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80" w:type="dxa"/>
            <w:vAlign w:val="bottom"/>
            <w:gridSpan w:val="17"/>
          </w:tcPr>
          <w:p>
            <w:pPr>
              <w:spacing w:after="0"/>
              <w:rPr>
                <w:sz w:val="20"/>
                <w:szCs w:val="20"/>
                <w:color w:val="auto"/>
              </w:rPr>
            </w:pPr>
            <w:r>
              <w:rPr>
                <w:rFonts w:ascii="Arial" w:cs="Arial" w:eastAsia="Arial" w:hAnsi="Arial"/>
                <w:sz w:val="13"/>
                <w:szCs w:val="13"/>
                <w:color w:val="0000FF"/>
                <w:w w:val="96"/>
              </w:rPr>
              <w:t>CONDENSED CONSOLIDATED STATEMENTS OF CHANGES IN STOCKHOLDERS’ EQUITY</w:t>
            </w:r>
          </w:p>
        </w:tc>
        <w:tc>
          <w:tcPr>
            <w:tcW w:w="2360" w:type="dxa"/>
            <w:vAlign w:val="bottom"/>
            <w:gridSpan w:val="2"/>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7</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80" w:type="dxa"/>
            <w:vAlign w:val="bottom"/>
            <w:gridSpan w:val="17"/>
          </w:tcPr>
          <w:p>
            <w:pPr>
              <w:spacing w:after="0"/>
              <w:rPr>
                <w:sz w:val="20"/>
                <w:szCs w:val="20"/>
                <w:color w:val="auto"/>
              </w:rPr>
            </w:pPr>
            <w:r>
              <w:rPr>
                <w:rFonts w:ascii="Arial" w:cs="Arial" w:eastAsia="Arial" w:hAnsi="Arial"/>
                <w:sz w:val="13"/>
                <w:szCs w:val="13"/>
                <w:color w:val="0000FF"/>
              </w:rPr>
              <w:t>CONDENSED CONSOLIDATED STATEMENTS OF CASH FLOWS</w:t>
            </w:r>
          </w:p>
        </w:tc>
        <w:tc>
          <w:tcPr>
            <w:tcW w:w="2360" w:type="dxa"/>
            <w:vAlign w:val="bottom"/>
            <w:gridSpan w:val="2"/>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9</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00" w:type="dxa"/>
            <w:vAlign w:val="bottom"/>
            <w:gridSpan w:val="13"/>
          </w:tcPr>
          <w:p>
            <w:pPr>
              <w:spacing w:after="0"/>
              <w:rPr>
                <w:sz w:val="20"/>
                <w:szCs w:val="20"/>
                <w:color w:val="auto"/>
              </w:rPr>
            </w:pPr>
            <w:r>
              <w:rPr>
                <w:rFonts w:ascii="Arial" w:cs="Arial" w:eastAsia="Arial" w:hAnsi="Arial"/>
                <w:sz w:val="13"/>
                <w:szCs w:val="13"/>
                <w:color w:val="0000FF"/>
                <w:w w:val="96"/>
              </w:rPr>
              <w:t>NOTES TO CONDENSED CONSOLIDATED FINANCIAL STATEMENTS</w:t>
            </w:r>
          </w:p>
        </w:tc>
        <w:tc>
          <w:tcPr>
            <w:tcW w:w="3640" w:type="dxa"/>
            <w:vAlign w:val="bottom"/>
            <w:gridSpan w:val="6"/>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10</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2.</w:t>
            </w:r>
          </w:p>
        </w:tc>
        <w:tc>
          <w:tcPr>
            <w:tcW w:w="7920" w:type="dxa"/>
            <w:vAlign w:val="bottom"/>
            <w:gridSpan w:val="20"/>
          </w:tcPr>
          <w:p>
            <w:pPr>
              <w:spacing w:after="0"/>
              <w:rPr>
                <w:sz w:val="20"/>
                <w:szCs w:val="20"/>
                <w:color w:val="auto"/>
              </w:rPr>
            </w:pPr>
            <w:r>
              <w:rPr>
                <w:rFonts w:ascii="Arial" w:cs="Arial" w:eastAsia="Arial" w:hAnsi="Arial"/>
                <w:sz w:val="13"/>
                <w:szCs w:val="13"/>
                <w:color w:val="0000FF"/>
              </w:rPr>
              <w:t>MANAGEMENT’S DISCUSSION AND ANALYSIS OF FINANCIAL CONDITIONS AND RESULTS OF OPERATIONS.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25</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3.</w:t>
            </w:r>
          </w:p>
        </w:tc>
        <w:tc>
          <w:tcPr>
            <w:tcW w:w="6580" w:type="dxa"/>
            <w:vAlign w:val="bottom"/>
            <w:gridSpan w:val="19"/>
          </w:tcPr>
          <w:p>
            <w:pPr>
              <w:spacing w:after="0"/>
              <w:rPr>
                <w:sz w:val="20"/>
                <w:szCs w:val="20"/>
                <w:color w:val="auto"/>
              </w:rPr>
            </w:pPr>
            <w:r>
              <w:rPr>
                <w:rFonts w:ascii="Arial" w:cs="Arial" w:eastAsia="Arial" w:hAnsi="Arial"/>
                <w:sz w:val="13"/>
                <w:szCs w:val="13"/>
                <w:color w:val="0000FF"/>
              </w:rPr>
              <w:t>QUANTITATIVE AND QUALITATIVE DISCLOSURES ABOUT MARKET RISK.</w:t>
            </w:r>
          </w:p>
        </w:tc>
        <w:tc>
          <w:tcPr>
            <w:tcW w:w="1340" w:type="dxa"/>
            <w:vAlign w:val="bottom"/>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39</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4.</w:t>
            </w:r>
          </w:p>
        </w:tc>
        <w:tc>
          <w:tcPr>
            <w:tcW w:w="4420" w:type="dxa"/>
            <w:vAlign w:val="bottom"/>
            <w:gridSpan w:val="15"/>
          </w:tcPr>
          <w:p>
            <w:pPr>
              <w:spacing w:after="0"/>
              <w:rPr>
                <w:sz w:val="20"/>
                <w:szCs w:val="20"/>
                <w:color w:val="auto"/>
              </w:rPr>
            </w:pPr>
            <w:r>
              <w:rPr>
                <w:rFonts w:ascii="Arial" w:cs="Arial" w:eastAsia="Arial" w:hAnsi="Arial"/>
                <w:sz w:val="13"/>
                <w:szCs w:val="13"/>
                <w:color w:val="0000FF"/>
              </w:rPr>
              <w:t>CONTROLS AND PROCEDURES.</w:t>
            </w:r>
          </w:p>
        </w:tc>
        <w:tc>
          <w:tcPr>
            <w:tcW w:w="3500" w:type="dxa"/>
            <w:vAlign w:val="bottom"/>
            <w:gridSpan w:val="5"/>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39</w:t>
            </w:r>
          </w:p>
        </w:tc>
        <w:tc>
          <w:tcPr>
            <w:tcW w:w="580" w:type="dxa"/>
            <w:vAlign w:val="bottom"/>
          </w:tcPr>
          <w:p>
            <w:pPr>
              <w:spacing w:after="0"/>
              <w:rPr>
                <w:sz w:val="13"/>
                <w:szCs w:val="13"/>
                <w:color w:val="auto"/>
              </w:rPr>
            </w:pPr>
          </w:p>
        </w:tc>
      </w:tr>
      <w:tr>
        <w:trPr>
          <w:trHeight w:val="54"/>
        </w:trPr>
        <w:tc>
          <w:tcPr>
            <w:tcW w:w="12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r>
      <w:tr>
        <w:trPr>
          <w:trHeight w:val="170"/>
        </w:trPr>
        <w:tc>
          <w:tcPr>
            <w:tcW w:w="1220" w:type="dxa"/>
            <w:vAlign w:val="bottom"/>
            <w:shd w:val="clear" w:color="auto" w:fill="00497F"/>
          </w:tcPr>
          <w:p>
            <w:pPr>
              <w:spacing w:after="0"/>
              <w:rPr>
                <w:sz w:val="14"/>
                <w:szCs w:val="14"/>
                <w:color w:val="auto"/>
              </w:rPr>
            </w:pPr>
          </w:p>
        </w:tc>
        <w:tc>
          <w:tcPr>
            <w:tcW w:w="180" w:type="dxa"/>
            <w:vAlign w:val="bottom"/>
            <w:shd w:val="clear" w:color="auto" w:fill="00497F"/>
          </w:tcPr>
          <w:p>
            <w:pPr>
              <w:spacing w:after="0"/>
              <w:rPr>
                <w:sz w:val="14"/>
                <w:szCs w:val="14"/>
                <w:color w:val="auto"/>
              </w:rPr>
            </w:pPr>
          </w:p>
        </w:tc>
        <w:tc>
          <w:tcPr>
            <w:tcW w:w="440" w:type="dxa"/>
            <w:vAlign w:val="bottom"/>
            <w:shd w:val="clear" w:color="auto" w:fill="00497F"/>
          </w:tcPr>
          <w:p>
            <w:pPr>
              <w:spacing w:after="0"/>
              <w:rPr>
                <w:sz w:val="14"/>
                <w:szCs w:val="14"/>
                <w:color w:val="auto"/>
              </w:rPr>
            </w:pPr>
          </w:p>
        </w:tc>
        <w:tc>
          <w:tcPr>
            <w:tcW w:w="200" w:type="dxa"/>
            <w:vAlign w:val="bottom"/>
            <w:shd w:val="clear" w:color="auto" w:fill="00497F"/>
          </w:tcPr>
          <w:p>
            <w:pPr>
              <w:spacing w:after="0"/>
              <w:rPr>
                <w:sz w:val="14"/>
                <w:szCs w:val="14"/>
                <w:color w:val="auto"/>
              </w:rPr>
            </w:pPr>
          </w:p>
        </w:tc>
        <w:tc>
          <w:tcPr>
            <w:tcW w:w="160" w:type="dxa"/>
            <w:vAlign w:val="bottom"/>
            <w:shd w:val="clear" w:color="auto" w:fill="00497F"/>
          </w:tcPr>
          <w:p>
            <w:pPr>
              <w:spacing w:after="0"/>
              <w:rPr>
                <w:sz w:val="14"/>
                <w:szCs w:val="14"/>
                <w:color w:val="auto"/>
              </w:rPr>
            </w:pPr>
          </w:p>
        </w:tc>
        <w:tc>
          <w:tcPr>
            <w:tcW w:w="420" w:type="dxa"/>
            <w:vAlign w:val="bottom"/>
            <w:shd w:val="clear" w:color="auto" w:fill="00497F"/>
          </w:tcPr>
          <w:p>
            <w:pPr>
              <w:spacing w:after="0"/>
              <w:rPr>
                <w:sz w:val="14"/>
                <w:szCs w:val="14"/>
                <w:color w:val="auto"/>
              </w:rPr>
            </w:pPr>
          </w:p>
        </w:tc>
        <w:tc>
          <w:tcPr>
            <w:tcW w:w="180" w:type="dxa"/>
            <w:vAlign w:val="bottom"/>
            <w:tcBorders>
              <w:left w:val="single" w:sz="8" w:color="00497F"/>
            </w:tcBorders>
            <w:shd w:val="clear" w:color="auto" w:fill="00497F"/>
          </w:tcPr>
          <w:p>
            <w:pPr>
              <w:spacing w:after="0"/>
              <w:rPr>
                <w:sz w:val="14"/>
                <w:szCs w:val="14"/>
                <w:color w:val="auto"/>
              </w:rPr>
            </w:pPr>
          </w:p>
        </w:tc>
        <w:tc>
          <w:tcPr>
            <w:tcW w:w="260" w:type="dxa"/>
            <w:vAlign w:val="bottom"/>
            <w:shd w:val="clear" w:color="auto" w:fill="00497F"/>
          </w:tcPr>
          <w:p>
            <w:pPr>
              <w:spacing w:after="0"/>
              <w:rPr>
                <w:sz w:val="14"/>
                <w:szCs w:val="14"/>
                <w:color w:val="auto"/>
              </w:rPr>
            </w:pPr>
          </w:p>
        </w:tc>
        <w:tc>
          <w:tcPr>
            <w:tcW w:w="140" w:type="dxa"/>
            <w:vAlign w:val="bottom"/>
            <w:shd w:val="clear" w:color="auto" w:fill="00497F"/>
          </w:tcPr>
          <w:p>
            <w:pPr>
              <w:spacing w:after="0"/>
              <w:rPr>
                <w:sz w:val="14"/>
                <w:szCs w:val="14"/>
                <w:color w:val="auto"/>
              </w:rPr>
            </w:pPr>
          </w:p>
        </w:tc>
        <w:tc>
          <w:tcPr>
            <w:tcW w:w="360" w:type="dxa"/>
            <w:vAlign w:val="bottom"/>
            <w:shd w:val="clear" w:color="auto" w:fill="00497F"/>
          </w:tcPr>
          <w:p>
            <w:pPr>
              <w:spacing w:after="0"/>
              <w:rPr>
                <w:sz w:val="14"/>
                <w:szCs w:val="14"/>
                <w:color w:val="auto"/>
              </w:rPr>
            </w:pPr>
          </w:p>
        </w:tc>
        <w:tc>
          <w:tcPr>
            <w:tcW w:w="860" w:type="dxa"/>
            <w:vAlign w:val="bottom"/>
            <w:shd w:val="clear" w:color="auto" w:fill="00497F"/>
          </w:tcPr>
          <w:p>
            <w:pPr>
              <w:spacing w:after="0"/>
              <w:rPr>
                <w:sz w:val="14"/>
                <w:szCs w:val="14"/>
                <w:color w:val="auto"/>
              </w:rPr>
            </w:pPr>
          </w:p>
        </w:tc>
        <w:tc>
          <w:tcPr>
            <w:tcW w:w="220" w:type="dxa"/>
            <w:vAlign w:val="bottom"/>
            <w:shd w:val="clear" w:color="auto" w:fill="00497F"/>
          </w:tcPr>
          <w:p>
            <w:pPr>
              <w:spacing w:after="0"/>
              <w:rPr>
                <w:sz w:val="14"/>
                <w:szCs w:val="14"/>
                <w:color w:val="auto"/>
              </w:rPr>
            </w:pPr>
          </w:p>
        </w:tc>
        <w:tc>
          <w:tcPr>
            <w:tcW w:w="4500" w:type="dxa"/>
            <w:vAlign w:val="bottom"/>
            <w:gridSpan w:val="9"/>
            <w:shd w:val="clear" w:color="auto" w:fill="00497F"/>
          </w:tcPr>
          <w:p>
            <w:pPr>
              <w:jc w:val="center"/>
              <w:ind w:right="2500"/>
              <w:spacing w:after="0"/>
              <w:rPr>
                <w:sz w:val="20"/>
                <w:szCs w:val="20"/>
                <w:color w:val="auto"/>
              </w:rPr>
            </w:pPr>
            <w:r>
              <w:rPr>
                <w:rFonts w:ascii="Arial" w:cs="Arial" w:eastAsia="Arial" w:hAnsi="Arial"/>
                <w:sz w:val="13"/>
                <w:szCs w:val="13"/>
                <w:b w:val="1"/>
                <w:bCs w:val="1"/>
                <w:color w:val="FFFFFF"/>
                <w:w w:val="96"/>
              </w:rPr>
              <w:t>PART II - OTHER INFORMATION</w:t>
            </w:r>
          </w:p>
        </w:tc>
        <w:tc>
          <w:tcPr>
            <w:tcW w:w="1420" w:type="dxa"/>
            <w:vAlign w:val="bottom"/>
            <w:shd w:val="clear" w:color="auto" w:fill="00497F"/>
          </w:tcPr>
          <w:p>
            <w:pPr>
              <w:spacing w:after="0"/>
              <w:rPr>
                <w:sz w:val="14"/>
                <w:szCs w:val="14"/>
                <w:color w:val="auto"/>
              </w:rPr>
            </w:pPr>
          </w:p>
        </w:tc>
        <w:tc>
          <w:tcPr>
            <w:tcW w:w="100" w:type="dxa"/>
            <w:vAlign w:val="bottom"/>
            <w:tcBorders>
              <w:right w:val="single" w:sz="8" w:color="00497F"/>
            </w:tcBorders>
            <w:shd w:val="clear" w:color="auto" w:fill="00497F"/>
          </w:tcPr>
          <w:p>
            <w:pPr>
              <w:spacing w:after="0"/>
              <w:rPr>
                <w:sz w:val="14"/>
                <w:szCs w:val="14"/>
                <w:color w:val="auto"/>
              </w:rPr>
            </w:pPr>
          </w:p>
        </w:tc>
        <w:tc>
          <w:tcPr>
            <w:tcW w:w="40" w:type="dxa"/>
            <w:vAlign w:val="bottom"/>
            <w:shd w:val="clear" w:color="auto" w:fill="00497F"/>
          </w:tcPr>
          <w:p>
            <w:pPr>
              <w:spacing w:after="0"/>
              <w:rPr>
                <w:sz w:val="14"/>
                <w:szCs w:val="14"/>
                <w:color w:val="auto"/>
              </w:rPr>
            </w:pPr>
          </w:p>
        </w:tc>
        <w:tc>
          <w:tcPr>
            <w:tcW w:w="580" w:type="dxa"/>
            <w:vAlign w:val="bottom"/>
            <w:shd w:val="clear" w:color="auto" w:fill="00497F"/>
          </w:tcPr>
          <w:p>
            <w:pPr>
              <w:spacing w:after="0"/>
              <w:rPr>
                <w:sz w:val="14"/>
                <w:szCs w:val="14"/>
                <w:color w:val="auto"/>
              </w:rPr>
            </w:pPr>
          </w:p>
        </w:tc>
      </w:tr>
      <w:tr>
        <w:trPr>
          <w:trHeight w:val="138"/>
        </w:trPr>
        <w:tc>
          <w:tcPr>
            <w:tcW w:w="1220" w:type="dxa"/>
            <w:vAlign w:val="bottom"/>
          </w:tcPr>
          <w:p>
            <w:pPr>
              <w:ind w:left="20"/>
              <w:spacing w:after="0" w:line="138" w:lineRule="exact"/>
              <w:rPr>
                <w:sz w:val="20"/>
                <w:szCs w:val="20"/>
                <w:color w:val="auto"/>
              </w:rPr>
            </w:pPr>
            <w:r>
              <w:rPr>
                <w:rFonts w:ascii="Arial" w:cs="Arial" w:eastAsia="Arial" w:hAnsi="Arial"/>
                <w:sz w:val="13"/>
                <w:szCs w:val="13"/>
                <w:color w:val="auto"/>
              </w:rPr>
              <w:t>ITEM 1.</w:t>
            </w:r>
          </w:p>
        </w:tc>
        <w:tc>
          <w:tcPr>
            <w:tcW w:w="1400" w:type="dxa"/>
            <w:vAlign w:val="bottom"/>
            <w:gridSpan w:val="5"/>
          </w:tcPr>
          <w:p>
            <w:pPr>
              <w:spacing w:after="0" w:line="138" w:lineRule="exact"/>
              <w:rPr>
                <w:sz w:val="20"/>
                <w:szCs w:val="20"/>
                <w:color w:val="auto"/>
              </w:rPr>
            </w:pPr>
            <w:r>
              <w:rPr>
                <w:rFonts w:ascii="Arial" w:cs="Arial" w:eastAsia="Arial" w:hAnsi="Arial"/>
                <w:sz w:val="13"/>
                <w:szCs w:val="13"/>
                <w:color w:val="0000FF"/>
                <w:w w:val="93"/>
              </w:rPr>
              <w:t>LEGAL PROCEEDINGS.</w:t>
            </w:r>
          </w:p>
        </w:tc>
        <w:tc>
          <w:tcPr>
            <w:tcW w:w="6520" w:type="dxa"/>
            <w:vAlign w:val="bottom"/>
            <w:gridSpan w:val="15"/>
          </w:tcPr>
          <w:p>
            <w:pPr>
              <w:spacing w:after="0"/>
              <w:rPr>
                <w:sz w:val="11"/>
                <w:szCs w:val="11"/>
                <w:color w:val="auto"/>
              </w:rPr>
            </w:pPr>
          </w:p>
        </w:tc>
        <w:tc>
          <w:tcPr>
            <w:tcW w:w="1560" w:type="dxa"/>
            <w:vAlign w:val="bottom"/>
            <w:gridSpan w:val="3"/>
          </w:tcPr>
          <w:p>
            <w:pPr>
              <w:jc w:val="center"/>
              <w:ind w:left="1356"/>
              <w:spacing w:after="0" w:line="138" w:lineRule="exact"/>
              <w:rPr>
                <w:sz w:val="20"/>
                <w:szCs w:val="20"/>
                <w:color w:val="auto"/>
              </w:rPr>
            </w:pPr>
            <w:r>
              <w:rPr>
                <w:rFonts w:ascii="Arial" w:cs="Arial" w:eastAsia="Arial" w:hAnsi="Arial"/>
                <w:sz w:val="13"/>
                <w:szCs w:val="13"/>
                <w:color w:val="0000FF"/>
                <w:w w:val="96"/>
              </w:rPr>
              <w:t>41</w:t>
            </w:r>
          </w:p>
        </w:tc>
        <w:tc>
          <w:tcPr>
            <w:tcW w:w="58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1A.</w:t>
            </w:r>
          </w:p>
        </w:tc>
        <w:tc>
          <w:tcPr>
            <w:tcW w:w="980" w:type="dxa"/>
            <w:vAlign w:val="bottom"/>
            <w:gridSpan w:val="4"/>
          </w:tcPr>
          <w:p>
            <w:pPr>
              <w:spacing w:after="0"/>
              <w:rPr>
                <w:sz w:val="20"/>
                <w:szCs w:val="20"/>
                <w:color w:val="auto"/>
              </w:rPr>
            </w:pPr>
            <w:r>
              <w:rPr>
                <w:rFonts w:ascii="Arial" w:cs="Arial" w:eastAsia="Arial" w:hAnsi="Arial"/>
                <w:sz w:val="13"/>
                <w:szCs w:val="13"/>
                <w:color w:val="0000FF"/>
                <w:w w:val="96"/>
              </w:rPr>
              <w:t>RISK FACTORS.</w:t>
            </w:r>
          </w:p>
        </w:tc>
        <w:tc>
          <w:tcPr>
            <w:tcW w:w="420" w:type="dxa"/>
            <w:vAlign w:val="bottom"/>
          </w:tcPr>
          <w:p>
            <w:pPr>
              <w:spacing w:after="0"/>
              <w:rPr>
                <w:sz w:val="13"/>
                <w:szCs w:val="13"/>
                <w:color w:val="auto"/>
              </w:rPr>
            </w:pPr>
          </w:p>
        </w:tc>
        <w:tc>
          <w:tcPr>
            <w:tcW w:w="6520" w:type="dxa"/>
            <w:vAlign w:val="bottom"/>
            <w:gridSpan w:val="15"/>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41</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2.</w:t>
            </w:r>
          </w:p>
        </w:tc>
        <w:tc>
          <w:tcPr>
            <w:tcW w:w="7920" w:type="dxa"/>
            <w:vAlign w:val="bottom"/>
            <w:gridSpan w:val="20"/>
          </w:tcPr>
          <w:p>
            <w:pPr>
              <w:spacing w:after="0"/>
              <w:rPr>
                <w:sz w:val="20"/>
                <w:szCs w:val="20"/>
                <w:color w:val="auto"/>
              </w:rPr>
            </w:pPr>
            <w:r>
              <w:rPr>
                <w:rFonts w:ascii="Arial" w:cs="Arial" w:eastAsia="Arial" w:hAnsi="Arial"/>
                <w:sz w:val="13"/>
                <w:szCs w:val="13"/>
                <w:color w:val="0000FF"/>
              </w:rPr>
              <w:t>UNREGISTERED SALES OF EQUITY SECURITIES AND USE OF PROCEEDS.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43</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3.</w:t>
            </w:r>
          </w:p>
        </w:tc>
        <w:tc>
          <w:tcPr>
            <w:tcW w:w="2340" w:type="dxa"/>
            <w:vAlign w:val="bottom"/>
            <w:gridSpan w:val="9"/>
          </w:tcPr>
          <w:p>
            <w:pPr>
              <w:spacing w:after="0"/>
              <w:rPr>
                <w:sz w:val="20"/>
                <w:szCs w:val="20"/>
                <w:color w:val="auto"/>
              </w:rPr>
            </w:pPr>
            <w:r>
              <w:rPr>
                <w:rFonts w:ascii="Arial" w:cs="Arial" w:eastAsia="Arial" w:hAnsi="Arial"/>
                <w:sz w:val="13"/>
                <w:szCs w:val="13"/>
                <w:color w:val="0000FF"/>
                <w:w w:val="97"/>
              </w:rPr>
              <w:t>DEFAULT UPON SENIOR SECURITIES.</w:t>
            </w:r>
          </w:p>
        </w:tc>
        <w:tc>
          <w:tcPr>
            <w:tcW w:w="2240" w:type="dxa"/>
            <w:vAlign w:val="bottom"/>
            <w:gridSpan w:val="7"/>
          </w:tcPr>
          <w:p>
            <w:pPr>
              <w:spacing w:after="0"/>
              <w:rPr>
                <w:sz w:val="13"/>
                <w:szCs w:val="13"/>
                <w:color w:val="auto"/>
              </w:rPr>
            </w:pPr>
          </w:p>
        </w:tc>
        <w:tc>
          <w:tcPr>
            <w:tcW w:w="3340" w:type="dxa"/>
            <w:vAlign w:val="bottom"/>
            <w:gridSpan w:val="4"/>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43</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4.</w:t>
            </w:r>
          </w:p>
        </w:tc>
        <w:tc>
          <w:tcPr>
            <w:tcW w:w="2340" w:type="dxa"/>
            <w:vAlign w:val="bottom"/>
            <w:gridSpan w:val="9"/>
          </w:tcPr>
          <w:p>
            <w:pPr>
              <w:spacing w:after="0"/>
              <w:rPr>
                <w:sz w:val="20"/>
                <w:szCs w:val="20"/>
                <w:color w:val="auto"/>
              </w:rPr>
            </w:pPr>
            <w:r>
              <w:rPr>
                <w:rFonts w:ascii="Arial" w:cs="Arial" w:eastAsia="Arial" w:hAnsi="Arial"/>
                <w:sz w:val="13"/>
                <w:szCs w:val="13"/>
                <w:color w:val="0000FF"/>
              </w:rPr>
              <w:t>MINE SAFETY DISCLOSURES.</w:t>
            </w:r>
          </w:p>
        </w:tc>
        <w:tc>
          <w:tcPr>
            <w:tcW w:w="5580" w:type="dxa"/>
            <w:vAlign w:val="bottom"/>
            <w:gridSpan w:val="11"/>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43</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080" w:type="dxa"/>
            <w:vAlign w:val="bottom"/>
            <w:gridSpan w:val="1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5.</w:t>
            </w:r>
          </w:p>
        </w:tc>
        <w:tc>
          <w:tcPr>
            <w:tcW w:w="1840" w:type="dxa"/>
            <w:vAlign w:val="bottom"/>
            <w:gridSpan w:val="7"/>
          </w:tcPr>
          <w:p>
            <w:pPr>
              <w:spacing w:after="0"/>
              <w:rPr>
                <w:sz w:val="20"/>
                <w:szCs w:val="20"/>
                <w:color w:val="auto"/>
              </w:rPr>
            </w:pPr>
            <w:r>
              <w:rPr>
                <w:rFonts w:ascii="Arial" w:cs="Arial" w:eastAsia="Arial" w:hAnsi="Arial"/>
                <w:sz w:val="13"/>
                <w:szCs w:val="13"/>
                <w:color w:val="0000FF"/>
              </w:rPr>
              <w:t>OTHER INFORMATION.</w:t>
            </w:r>
          </w:p>
        </w:tc>
        <w:tc>
          <w:tcPr>
            <w:tcW w:w="6080" w:type="dxa"/>
            <w:vAlign w:val="bottom"/>
            <w:gridSpan w:val="13"/>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43</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520" w:type="dxa"/>
            <w:vAlign w:val="bottom"/>
            <w:gridSpan w:val="1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6.</w:t>
            </w:r>
          </w:p>
        </w:tc>
        <w:tc>
          <w:tcPr>
            <w:tcW w:w="1400" w:type="dxa"/>
            <w:vAlign w:val="bottom"/>
            <w:gridSpan w:val="5"/>
          </w:tcPr>
          <w:p>
            <w:pPr>
              <w:spacing w:after="0"/>
              <w:rPr>
                <w:sz w:val="20"/>
                <w:szCs w:val="20"/>
                <w:color w:val="auto"/>
              </w:rPr>
            </w:pPr>
            <w:r>
              <w:rPr>
                <w:rFonts w:ascii="Arial" w:cs="Arial" w:eastAsia="Arial" w:hAnsi="Arial"/>
                <w:sz w:val="13"/>
                <w:szCs w:val="13"/>
                <w:color w:val="0000FF"/>
              </w:rPr>
              <w:t>EXHIBITS.</w:t>
            </w:r>
          </w:p>
        </w:tc>
        <w:tc>
          <w:tcPr>
            <w:tcW w:w="6520" w:type="dxa"/>
            <w:vAlign w:val="bottom"/>
            <w:gridSpan w:val="15"/>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44</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100" w:type="dxa"/>
            <w:vAlign w:val="bottom"/>
            <w:gridSpan w:val="1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7920" w:type="dxa"/>
            <w:vAlign w:val="bottom"/>
            <w:gridSpan w:val="20"/>
          </w:tcPr>
          <w:p>
            <w:pPr>
              <w:spacing w:after="0"/>
              <w:rPr>
                <w:sz w:val="20"/>
                <w:szCs w:val="20"/>
                <w:color w:val="auto"/>
              </w:rPr>
            </w:pPr>
            <w:r>
              <w:rPr>
                <w:rFonts w:ascii="Arial" w:cs="Arial" w:eastAsia="Arial" w:hAnsi="Arial"/>
                <w:sz w:val="13"/>
                <w:szCs w:val="13"/>
                <w:color w:val="0000FF"/>
              </w:rPr>
              <w:t>SIGNATURES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46</w:t>
            </w:r>
          </w:p>
        </w:tc>
        <w:tc>
          <w:tcPr>
            <w:tcW w:w="580" w:type="dxa"/>
            <w:vAlign w:val="bottom"/>
          </w:tcPr>
          <w:p>
            <w:pPr>
              <w:spacing w:after="0"/>
              <w:rPr>
                <w:sz w:val="13"/>
                <w:szCs w:val="13"/>
                <w:color w:val="auto"/>
              </w:rPr>
            </w:pPr>
          </w:p>
        </w:tc>
      </w:tr>
      <w:tr>
        <w:trPr>
          <w:trHeight w:val="777"/>
        </w:trPr>
        <w:tc>
          <w:tcPr>
            <w:tcW w:w="122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169" w:lineRule="exact"/>
        <w:rPr>
          <w:sz w:val="20"/>
          <w:szCs w:val="20"/>
          <w:color w:val="auto"/>
        </w:rPr>
      </w:pPr>
    </w:p>
    <w:p>
      <w:pPr>
        <w:ind w:right="160"/>
        <w:spacing w:after="0" w:line="254" w:lineRule="auto"/>
        <w:rPr>
          <w:sz w:val="20"/>
          <w:szCs w:val="20"/>
          <w:color w:val="auto"/>
        </w:rPr>
      </w:pPr>
      <w:r>
        <w:rPr>
          <w:rFonts w:ascii="Arial" w:cs="Arial" w:eastAsia="Arial" w:hAnsi="Arial"/>
          <w:sz w:val="13"/>
          <w:szCs w:val="13"/>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spacing w:after="0" w:line="143" w:lineRule="exact"/>
        <w:rPr>
          <w:sz w:val="20"/>
          <w:szCs w:val="20"/>
          <w:color w:val="auto"/>
        </w:rPr>
      </w:pPr>
    </w:p>
    <w:p>
      <w:pPr>
        <w:jc w:val="both"/>
        <w:ind w:right="120"/>
        <w:spacing w:after="0" w:line="275" w:lineRule="auto"/>
        <w:rPr>
          <w:sz w:val="20"/>
          <w:szCs w:val="20"/>
          <w:color w:val="auto"/>
        </w:rPr>
      </w:pPr>
      <w:r>
        <w:rPr>
          <w:rFonts w:ascii="Arial" w:cs="Arial" w:eastAsia="Arial" w:hAnsi="Arial"/>
          <w:sz w:val="12"/>
          <w:szCs w:val="12"/>
          <w:color w:val="auto"/>
        </w:rPr>
        <w:t>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Quarterly Report on Form 10-Q are only predictions. Accordingly, we caution you that any such forward-looking statements are not guarantees of future performance and are subject to risks, assumptions and uncertainties that are difficult to predict.</w:t>
      </w:r>
    </w:p>
    <w:p>
      <w:pPr>
        <w:spacing w:after="0" w:line="1" w:lineRule="exact"/>
        <w:rPr>
          <w:sz w:val="20"/>
          <w:szCs w:val="20"/>
          <w:color w:val="auto"/>
        </w:rPr>
      </w:pPr>
    </w:p>
    <w:p>
      <w:pPr>
        <w:ind w:right="560"/>
        <w:spacing w:after="0" w:line="253" w:lineRule="auto"/>
        <w:rPr>
          <w:sz w:val="20"/>
          <w:szCs w:val="20"/>
          <w:color w:val="auto"/>
        </w:rPr>
      </w:pPr>
      <w:r>
        <w:rPr>
          <w:rFonts w:ascii="Arial" w:cs="Arial" w:eastAsia="Arial" w:hAnsi="Arial"/>
          <w:sz w:val="13"/>
          <w:szCs w:val="13"/>
          <w:color w:val="auto"/>
        </w:rPr>
        <w:t>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44"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These forward-looking statements speak only as of the date of this Quarterly Report on Form 10-Q and are subject to a number of important factors that could cause actual results to differ materially from those in the forward-looking statements, including but not limited to the following: the marketing and sale of Medicare plans are subject to numerous, complex and frequently changing laws, regulations and guidelines; our business may be harmed if we lose our relationships with carriers or if our relationships with carriers change; our failure to grow our customer base or retain our existing customers; carriers may reduce the commissions paid to us and change their underwriting practices in ways that reduce the number of, or impact the renewal or approval rates of, insurance policies sold through our platform; factors that impact our estimate of LTV (as defined below) may be adversely impacted; our management and independent auditors have identified a material weakness in our internal controls over financial reporting, and we may be unable to develop, implement and maintain appropriate controls in future periods, which may lead to errors or omissions in our financial statements; the potential delisting of our common stock from the Nasdaq Global Market (“NASDAQ”); volatility in general economic conditions, including inflation, interest rates, and other commodity prices and exchange rates may impact our financial position and performance; we currently depend on a small group of carriers for a substantial portion of our revenue; information technology system failures could interrupt our operations; our ability to sell Medicare-related health insurance plans is largely dependent on our licensed health insurance agents; operating and growing our business may require additional capital; our strategic focus on cash flow optimization may lead to decreased revenue or otherwise adversely affect our business; we may lose key employees or fail to attract qualified employees; our operations may be adversely impacted by a reduction in employee headcount or other similar actions; the Founders (as defined below) and Centerbridge (as defined below) have significant influence over us, including control over decisions that require the approval of stockholders; and other important factors described in the section titled “Risk Factors” in our Annual Report on Form 10-K for the year ended December 31, 2021 (the “2021 Form 10-K”), the section titled “Management’s Discussion and Analysis of Financial Condition and Results of Operations” in this Quarterly Report on Form 10-Q, and in our other filings with the Securities and Exchange Commission.</w:t>
      </w:r>
    </w:p>
    <w:p>
      <w:pPr>
        <w:spacing w:after="0" w:line="159" w:lineRule="exact"/>
        <w:rPr>
          <w:sz w:val="20"/>
          <w:szCs w:val="20"/>
          <w:color w:val="auto"/>
        </w:rPr>
      </w:pPr>
    </w:p>
    <w:p>
      <w:pPr>
        <w:ind w:right="200"/>
        <w:spacing w:after="0" w:line="261" w:lineRule="auto"/>
        <w:rPr>
          <w:sz w:val="20"/>
          <w:szCs w:val="20"/>
          <w:color w:val="auto"/>
        </w:rPr>
      </w:pPr>
      <w:r>
        <w:rPr>
          <w:rFonts w:ascii="Arial" w:cs="Arial" w:eastAsia="Arial" w:hAnsi="Arial"/>
          <w:sz w:val="13"/>
          <w:szCs w:val="13"/>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CERTAIN DEFINITIONS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As used in this Quarterly Report on Form 10-Q, unless the context otherwise requires:</w:t>
      </w:r>
    </w:p>
    <w:p>
      <w:pPr>
        <w:spacing w:after="0" w:line="179" w:lineRule="exact"/>
        <w:rPr>
          <w:sz w:val="20"/>
          <w:szCs w:val="20"/>
          <w:color w:val="auto"/>
        </w:rPr>
      </w:pPr>
    </w:p>
    <w:p>
      <w:pPr>
        <w:ind w:left="520" w:right="60" w:hanging="260"/>
        <w:spacing w:after="0" w:line="266"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we</w:t>
      </w:r>
      <w:r>
        <w:rPr>
          <w:rFonts w:ascii="Arial" w:cs="Arial" w:eastAsia="Arial" w:hAnsi="Arial"/>
          <w:sz w:val="13"/>
          <w:szCs w:val="13"/>
          <w:color w:val="auto"/>
        </w:rPr>
        <w:t>,” “</w:t>
      </w:r>
      <w:r>
        <w:rPr>
          <w:rFonts w:ascii="Arial" w:cs="Arial" w:eastAsia="Arial" w:hAnsi="Arial"/>
          <w:sz w:val="13"/>
          <w:szCs w:val="13"/>
          <w:i w:val="1"/>
          <w:iCs w:val="1"/>
          <w:color w:val="auto"/>
        </w:rPr>
        <w:t>us</w:t>
      </w:r>
      <w:r>
        <w:rPr>
          <w:rFonts w:ascii="Arial" w:cs="Arial" w:eastAsia="Arial" w:hAnsi="Arial"/>
          <w:sz w:val="13"/>
          <w:szCs w:val="13"/>
          <w:color w:val="auto"/>
        </w:rPr>
        <w:t>,” “</w:t>
      </w:r>
      <w:r>
        <w:rPr>
          <w:rFonts w:ascii="Arial" w:cs="Arial" w:eastAsia="Arial" w:hAnsi="Arial"/>
          <w:sz w:val="13"/>
          <w:szCs w:val="13"/>
          <w:i w:val="1"/>
          <w:iCs w:val="1"/>
          <w:color w:val="auto"/>
        </w:rPr>
        <w:t>our</w:t>
      </w:r>
      <w:r>
        <w:rPr>
          <w:rFonts w:ascii="Arial" w:cs="Arial" w:eastAsia="Arial" w:hAnsi="Arial"/>
          <w:sz w:val="13"/>
          <w:szCs w:val="13"/>
          <w:color w:val="auto"/>
        </w:rPr>
        <w:t>,” the “</w:t>
      </w:r>
      <w:r>
        <w:rPr>
          <w:rFonts w:ascii="Arial" w:cs="Arial" w:eastAsia="Arial" w:hAnsi="Arial"/>
          <w:sz w:val="13"/>
          <w:szCs w:val="13"/>
          <w:i w:val="1"/>
          <w:iCs w:val="1"/>
          <w:color w:val="auto"/>
        </w:rPr>
        <w:t>Company</w:t>
      </w:r>
      <w:r>
        <w:rPr>
          <w:rFonts w:ascii="Arial" w:cs="Arial" w:eastAsia="Arial" w:hAnsi="Arial"/>
          <w:sz w:val="13"/>
          <w:szCs w:val="13"/>
          <w:color w:val="auto"/>
        </w:rPr>
        <w:t>,” “</w:t>
      </w:r>
      <w:r>
        <w:rPr>
          <w:rFonts w:ascii="Arial" w:cs="Arial" w:eastAsia="Arial" w:hAnsi="Arial"/>
          <w:sz w:val="13"/>
          <w:szCs w:val="13"/>
          <w:i w:val="1"/>
          <w:iCs w:val="1"/>
          <w:color w:val="auto"/>
        </w:rPr>
        <w:t>GoHealth</w:t>
      </w:r>
      <w:r>
        <w:rPr>
          <w:rFonts w:ascii="Arial" w:cs="Arial" w:eastAsia="Arial" w:hAnsi="Arial"/>
          <w:sz w:val="13"/>
          <w:szCs w:val="13"/>
          <w:color w:val="auto"/>
        </w:rPr>
        <w:t>” and similar references refer to GoHealth, Inc., and, unless otherwise stated, all of its direct and indirect subsidiaries, including GoHealth Holdings, LLC (formerly known as Blizzard Parent, LLC).</w:t>
      </w:r>
    </w:p>
    <w:p>
      <w:pPr>
        <w:spacing w:after="0" w:line="146" w:lineRule="exact"/>
        <w:rPr>
          <w:rFonts w:ascii="Arial" w:cs="Arial" w:eastAsia="Arial" w:hAnsi="Arial"/>
          <w:sz w:val="13"/>
          <w:szCs w:val="13"/>
          <w:color w:val="auto"/>
        </w:rPr>
      </w:pPr>
    </w:p>
    <w:p>
      <w:pPr>
        <w:ind w:left="520" w:right="640" w:hanging="260"/>
        <w:spacing w:after="0" w:line="266"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Blocker Company</w:t>
      </w:r>
      <w:r>
        <w:rPr>
          <w:rFonts w:ascii="Arial" w:cs="Arial" w:eastAsia="Arial" w:hAnsi="Arial"/>
          <w:sz w:val="13"/>
          <w:szCs w:val="13"/>
          <w:color w:val="auto"/>
        </w:rPr>
        <w:t>” refers to an entity affiliated with Centerbridge that was an indirect owner of LLC Interests in GoHealth Holdings, LLC prior to the Transactions and is taxable as a corporation for U.S. federal income tax purposes.</w:t>
      </w:r>
    </w:p>
    <w:p>
      <w:pPr>
        <w:spacing w:after="0" w:line="135" w:lineRule="exact"/>
        <w:rPr>
          <w:rFonts w:ascii="Arial" w:cs="Arial" w:eastAsia="Arial" w:hAnsi="Arial"/>
          <w:sz w:val="13"/>
          <w:szCs w:val="13"/>
          <w:color w:val="auto"/>
        </w:rPr>
      </w:pPr>
    </w:p>
    <w:p>
      <w:pPr>
        <w:ind w:left="520" w:right="240" w:hanging="260"/>
        <w:spacing w:after="0" w:line="283"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Blocker Shareholders</w:t>
      </w:r>
      <w:r>
        <w:rPr>
          <w:rFonts w:ascii="Arial" w:cs="Arial" w:eastAsia="Arial" w:hAnsi="Arial"/>
          <w:sz w:val="13"/>
          <w:szCs w:val="13"/>
          <w:color w:val="auto"/>
        </w:rPr>
        <w:t>”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124" w:lineRule="exact"/>
        <w:rPr>
          <w:rFonts w:ascii="Arial" w:cs="Arial" w:eastAsia="Arial" w:hAnsi="Arial"/>
          <w:sz w:val="13"/>
          <w:szCs w:val="13"/>
          <w:color w:val="auto"/>
        </w:rPr>
      </w:pPr>
    </w:p>
    <w:p>
      <w:pPr>
        <w:ind w:left="520" w:right="160" w:hanging="260"/>
        <w:spacing w:after="0" w:line="266"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Centerbridge</w:t>
      </w:r>
      <w:r>
        <w:rPr>
          <w:rFonts w:ascii="Arial" w:cs="Arial" w:eastAsia="Arial" w:hAnsi="Arial"/>
          <w:sz w:val="13"/>
          <w:szCs w:val="13"/>
          <w:color w:val="auto"/>
        </w:rPr>
        <w:t>” refers to Centerbridge Capital Partners III, L.P., a Delaware limited partnership, certain funds affiliated with Centerbridge Capital Partners III, L.P. and other entities over which Centerbridge Capital Partners III, L.P. has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4" w:name="page5"/>
    <w:bookmarkEnd w:id="4"/>
    <w:p>
      <w:pPr>
        <w:ind w:left="520"/>
        <w:spacing w:after="0"/>
        <w:rPr>
          <w:sz w:val="20"/>
          <w:szCs w:val="20"/>
          <w:color w:val="auto"/>
        </w:rPr>
      </w:pPr>
      <w:r>
        <w:rPr>
          <w:rFonts w:ascii="Arial" w:cs="Arial" w:eastAsia="Arial" w:hAnsi="Arial"/>
          <w:sz w:val="13"/>
          <w:szCs w:val="13"/>
          <w:color w:val="auto"/>
        </w:rPr>
        <w:t>voting control (including any such fund or entity formed to hold shares of Class A common stock for the Blocker Shareholders).</w:t>
      </w:r>
    </w:p>
    <w:p>
      <w:pPr>
        <w:spacing w:after="0" w:line="169" w:lineRule="exact"/>
        <w:rPr>
          <w:sz w:val="20"/>
          <w:szCs w:val="20"/>
          <w:color w:val="auto"/>
        </w:rPr>
      </w:pPr>
    </w:p>
    <w:p>
      <w:pPr>
        <w:ind w:left="520" w:right="280" w:hanging="260"/>
        <w:spacing w:after="0" w:line="283"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Centerbridge Acquisition</w:t>
      </w:r>
      <w:r>
        <w:rPr>
          <w:rFonts w:ascii="Arial" w:cs="Arial" w:eastAsia="Arial" w:hAnsi="Arial"/>
          <w:sz w:val="13"/>
          <w:szCs w:val="13"/>
          <w:color w:val="auto"/>
        </w:rPr>
        <w:t xml:space="preserve">” or </w:t>
      </w:r>
      <w:r>
        <w:rPr>
          <w:rFonts w:ascii="Arial" w:cs="Arial" w:eastAsia="Arial" w:hAnsi="Arial"/>
          <w:sz w:val="13"/>
          <w:szCs w:val="13"/>
          <w:i w:val="1"/>
          <w:iCs w:val="1"/>
          <w:color w:val="auto"/>
        </w:rPr>
        <w:t>“Acquisition”</w:t>
      </w:r>
      <w:r>
        <w:rPr>
          <w:rFonts w:ascii="Arial" w:cs="Arial" w:eastAsia="Arial" w:hAnsi="Arial"/>
          <w:sz w:val="13"/>
          <w:szCs w:val="13"/>
          <w:color w:val="auto"/>
        </w:rPr>
        <w:t xml:space="preserve"> refers to the acquisition, on September 13, 2019, by Centerbridge, indirectly through a subsidiary of GoHealth Holdings, LLC (formerly known as Blizzard Parent, LLC), an entity formed in contemplation of the acquisition, of a 100% interest in Norvax.</w:t>
      </w:r>
    </w:p>
    <w:p>
      <w:pPr>
        <w:spacing w:after="0" w:line="124" w:lineRule="exact"/>
        <w:rPr>
          <w:rFonts w:ascii="Arial" w:cs="Arial" w:eastAsia="Arial" w:hAnsi="Arial"/>
          <w:sz w:val="13"/>
          <w:szCs w:val="13"/>
          <w:color w:val="auto"/>
        </w:rPr>
      </w:pPr>
    </w:p>
    <w:p>
      <w:pPr>
        <w:ind w:left="520" w:right="20" w:hanging="260"/>
        <w:spacing w:after="0" w:line="250"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Continuing Equity Owners</w:t>
      </w:r>
      <w:r>
        <w:rPr>
          <w:rFonts w:ascii="Arial" w:cs="Arial" w:eastAsia="Arial" w:hAnsi="Arial"/>
          <w:sz w:val="13"/>
          <w:szCs w:val="13"/>
          <w:color w:val="auto"/>
        </w:rPr>
        <w:t>” refer collectively to direct or indirect holders of LLC Interests and our Class B common stock immediately following consummation of the Transactions, including Centerbridge, Norwest Equity Partners,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spacing w:after="0" w:line="158"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Founders</w:t>
      </w:r>
      <w:r>
        <w:rPr>
          <w:rFonts w:ascii="Arial" w:cs="Arial" w:eastAsia="Arial" w:hAnsi="Arial"/>
          <w:sz w:val="13"/>
          <w:szCs w:val="13"/>
          <w:color w:val="auto"/>
        </w:rPr>
        <w:t>” refer to Brandon M. Cruz, our Co-Founder and Non-Executive Co-Chair of the Board, and Clinton P. Jones, our Co-Founder and Executive Chair of the Board.</w:t>
      </w:r>
    </w:p>
    <w:p>
      <w:pPr>
        <w:spacing w:after="0" w:line="168" w:lineRule="exact"/>
        <w:rPr>
          <w:rFonts w:ascii="Arial" w:cs="Arial" w:eastAsia="Arial" w:hAnsi="Arial"/>
          <w:sz w:val="13"/>
          <w:szCs w:val="13"/>
          <w:color w:val="auto"/>
        </w:rPr>
      </w:pPr>
    </w:p>
    <w:p>
      <w:pPr>
        <w:ind w:left="520" w:right="20" w:hanging="260"/>
        <w:spacing w:after="0" w:line="249"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Former Profits Unit Holders</w:t>
      </w:r>
      <w:r>
        <w:rPr>
          <w:rFonts w:ascii="Arial" w:cs="Arial" w:eastAsia="Arial" w:hAnsi="Arial"/>
          <w:sz w:val="13"/>
          <w:szCs w:val="13"/>
          <w:color w:val="auto"/>
        </w:rPr>
        <w:t>” refers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GoHealth Holdings, LLC pursuant to GoHealth Holdings, LLC’s existing profits unit plan and who received LLC Interests in exchange for their profits units in connection with the Transactions. LLC Interests received in exchange for unvested profits units remain subject to their existing time-based vesting requirements. Profit units with performance-based vesting conditions fully vested as such conditions were met in connection with our IPO.</w:t>
      </w:r>
    </w:p>
    <w:p>
      <w:pPr>
        <w:spacing w:after="0" w:line="158" w:lineRule="exact"/>
        <w:rPr>
          <w:rFonts w:ascii="Arial" w:cs="Arial" w:eastAsia="Arial" w:hAnsi="Arial"/>
          <w:sz w:val="13"/>
          <w:szCs w:val="13"/>
          <w:color w:val="auto"/>
        </w:rPr>
      </w:pPr>
    </w:p>
    <w:p>
      <w:pPr>
        <w:ind w:left="520" w:right="20" w:hanging="260"/>
        <w:spacing w:after="0" w:line="266"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GoHealth Holdings, LLC Agreement</w:t>
      </w:r>
      <w:r>
        <w:rPr>
          <w:rFonts w:ascii="Arial" w:cs="Arial" w:eastAsia="Arial" w:hAnsi="Arial"/>
          <w:sz w:val="13"/>
          <w:szCs w:val="13"/>
          <w:color w:val="auto"/>
        </w:rPr>
        <w:t>” refers to GoHealth Holdings, LLC’s amended and restated limited liability company agreement, as further amended, which became effective substantially concurrently with or prior to the consummation of our IPO.</w:t>
      </w:r>
    </w:p>
    <w:p>
      <w:pPr>
        <w:spacing w:after="0" w:line="146"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LLC Interests</w:t>
      </w:r>
      <w:r>
        <w:rPr>
          <w:rFonts w:ascii="Arial" w:cs="Arial" w:eastAsia="Arial" w:hAnsi="Arial"/>
          <w:sz w:val="13"/>
          <w:szCs w:val="13"/>
          <w:color w:val="auto"/>
        </w:rPr>
        <w:t>” refer to the common units of GoHealth Holdings, LLC, including those that we purchased with a portion of the net proceeds from our IPO.</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Norvax</w:t>
      </w:r>
      <w:r>
        <w:rPr>
          <w:rFonts w:ascii="Arial" w:cs="Arial" w:eastAsia="Arial" w:hAnsi="Arial"/>
          <w:sz w:val="13"/>
          <w:szCs w:val="13"/>
          <w:color w:val="auto"/>
        </w:rPr>
        <w:t>” refers to Norvax, LLC, a Delaware limited liability company and a subsidiary of GoHealth Holdings, LLC.</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NVX Holdings</w:t>
      </w:r>
      <w:r>
        <w:rPr>
          <w:rFonts w:ascii="Arial" w:cs="Arial" w:eastAsia="Arial" w:hAnsi="Arial"/>
          <w:sz w:val="13"/>
          <w:szCs w:val="13"/>
          <w:color w:val="auto"/>
        </w:rPr>
        <w:t>” refers to NVX Holdings, Inc., a Delaware corporation that is controlled by the Founders.</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Transactions</w:t>
      </w:r>
      <w:r>
        <w:rPr>
          <w:rFonts w:ascii="Arial" w:cs="Arial" w:eastAsia="Arial" w:hAnsi="Arial"/>
          <w:sz w:val="13"/>
          <w:szCs w:val="13"/>
          <w:color w:val="auto"/>
        </w:rPr>
        <w:t>” refer to our IPO and certain organizational transactions that were effected in connection with our IPO, and the application of the net proceeds therefrom.</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GoHealth, Inc. is a holding company and the sole managing member of GoHealth Holdings, LLC, and its principal asset consists of LLC Interests.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KEY TERMS AND PERFORMANCE INDICATORS; NON-GAAP FINANCIAL MEASURES</w:t>
      </w:r>
    </w:p>
    <w:p>
      <w:pPr>
        <w:spacing w:after="0" w:line="16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Throughout this Quarterly Report on Form 10-Q, we use a number of key terms and provide a number of key performance indicators used by management. We define these terms and key performance indicators as follows:</w:t>
      </w:r>
    </w:p>
    <w:p>
      <w:pPr>
        <w:spacing w:after="0" w:line="146" w:lineRule="exact"/>
        <w:rPr>
          <w:sz w:val="20"/>
          <w:szCs w:val="20"/>
          <w:color w:val="auto"/>
        </w:rPr>
      </w:pPr>
    </w:p>
    <w:p>
      <w:pPr>
        <w:ind w:left="520" w:right="200" w:hanging="260"/>
        <w:spacing w:after="0" w:line="266"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Adjusted EBITDA</w:t>
      </w:r>
      <w:r>
        <w:rPr>
          <w:rFonts w:ascii="Arial" w:cs="Arial" w:eastAsia="Arial" w:hAnsi="Arial"/>
          <w:sz w:val="13"/>
          <w:szCs w:val="13"/>
          <w:color w:val="auto"/>
        </w:rPr>
        <w:t>” represents, as applicable for the period, EBITDA as further adjusted for certain items discussed in Item 2. Management’s Discussion and Analysis of Financial Condition and Results of Operations.</w:t>
      </w:r>
    </w:p>
    <w:p>
      <w:pPr>
        <w:spacing w:after="0" w:line="146"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Adjusted EBITDA Margin</w:t>
      </w:r>
      <w:r>
        <w:rPr>
          <w:rFonts w:ascii="Arial" w:cs="Arial" w:eastAsia="Arial" w:hAnsi="Arial"/>
          <w:sz w:val="13"/>
          <w:szCs w:val="13"/>
          <w:color w:val="auto"/>
        </w:rPr>
        <w:t>” refers to Adjusted EBITDA divided by net revenues.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Approved Submissions</w:t>
      </w:r>
      <w:r>
        <w:rPr>
          <w:rFonts w:ascii="Arial" w:cs="Arial" w:eastAsia="Arial" w:hAnsi="Arial"/>
          <w:sz w:val="13"/>
          <w:szCs w:val="13"/>
          <w:color w:val="auto"/>
        </w:rPr>
        <w:t>” refer to Submitted Policies approved by carriers for the identified product during the indicated period.</w:t>
      </w:r>
    </w:p>
    <w:p>
      <w:pPr>
        <w:spacing w:after="0" w:line="168" w:lineRule="exact"/>
        <w:rPr>
          <w:rFonts w:ascii="Arial" w:cs="Arial" w:eastAsia="Arial" w:hAnsi="Arial"/>
          <w:sz w:val="13"/>
          <w:szCs w:val="13"/>
          <w:color w:val="auto"/>
        </w:rPr>
      </w:pPr>
    </w:p>
    <w:p>
      <w:pPr>
        <w:ind w:left="520" w:right="320" w:hanging="260"/>
        <w:spacing w:after="0" w:line="283"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CAC</w:t>
      </w:r>
      <w:r>
        <w:rPr>
          <w:rFonts w:ascii="Arial" w:cs="Arial" w:eastAsia="Arial" w:hAnsi="Arial"/>
          <w:sz w:val="13"/>
          <w:szCs w:val="13"/>
          <w:color w:val="auto"/>
        </w:rPr>
        <w:t>” refers to the cost to convert a prospect into a customer less other non-commission carrier revenue for such period. CAC is comprised of cost of revenue, marketing and advertising expenses and customer care and enrollment expenses less other revenue and is presented on a per commissionable Approved Submission basis.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5" w:name="page6"/>
    <w:bookmarkEnd w:id="5"/>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EBITDA</w:t>
      </w:r>
      <w:r>
        <w:rPr>
          <w:rFonts w:ascii="Arial" w:cs="Arial" w:eastAsia="Arial" w:hAnsi="Arial"/>
          <w:sz w:val="13"/>
          <w:szCs w:val="13"/>
          <w:color w:val="auto"/>
        </w:rPr>
        <w:t>” represents net income (loss) before interest expense, income tax expense (benefit) and depreciation and amortization expense.</w:t>
      </w:r>
    </w:p>
    <w:p>
      <w:pPr>
        <w:spacing w:after="0" w:line="168" w:lineRule="exact"/>
        <w:rPr>
          <w:rFonts w:ascii="Arial" w:cs="Arial" w:eastAsia="Arial" w:hAnsi="Arial"/>
          <w:sz w:val="13"/>
          <w:szCs w:val="13"/>
          <w:color w:val="auto"/>
        </w:rPr>
      </w:pPr>
    </w:p>
    <w:p>
      <w:pPr>
        <w:ind w:left="520" w:right="60" w:hanging="260"/>
        <w:spacing w:after="0" w:line="261"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LTV</w:t>
      </w:r>
      <w:r>
        <w:rPr>
          <w:rFonts w:ascii="Arial" w:cs="Arial" w:eastAsia="Arial" w:hAnsi="Arial"/>
          <w:sz w:val="13"/>
          <w:szCs w:val="13"/>
          <w:color w:val="auto"/>
        </w:rPr>
        <w:t>” refers to the Lifetime Value of Commissions per Approved Submission, which we define as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w:t>
      </w:r>
    </w:p>
    <w:p>
      <w:pPr>
        <w:spacing w:after="0" w:line="148" w:lineRule="exact"/>
        <w:rPr>
          <w:rFonts w:ascii="Arial" w:cs="Arial" w:eastAsia="Arial" w:hAnsi="Arial"/>
          <w:sz w:val="13"/>
          <w:szCs w:val="13"/>
          <w:color w:val="auto"/>
        </w:rPr>
      </w:pPr>
    </w:p>
    <w:p>
      <w:pPr>
        <w:ind w:left="520" w:hanging="260"/>
        <w:spacing w:after="0" w:line="253"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LTV Per Approved Submission</w:t>
      </w:r>
      <w:r>
        <w:rPr>
          <w:rFonts w:ascii="Arial" w:cs="Arial" w:eastAsia="Arial" w:hAnsi="Arial"/>
          <w:sz w:val="13"/>
          <w:szCs w:val="13"/>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w:t>
      </w:r>
    </w:p>
    <w:p>
      <w:pPr>
        <w:spacing w:after="0" w:line="144" w:lineRule="exact"/>
        <w:rPr>
          <w:rFonts w:ascii="Arial" w:cs="Arial" w:eastAsia="Arial" w:hAnsi="Arial"/>
          <w:sz w:val="13"/>
          <w:szCs w:val="13"/>
          <w:color w:val="auto"/>
        </w:rPr>
      </w:pPr>
    </w:p>
    <w:p>
      <w:pPr>
        <w:ind w:left="520" w:right="60" w:hanging="260"/>
        <w:spacing w:after="0" w:line="250" w:lineRule="auto"/>
        <w:tabs>
          <w:tab w:leader="none" w:pos="511" w:val="left"/>
        </w:tabs>
        <w:numPr>
          <w:ilvl w:val="0"/>
          <w:numId w:val="6"/>
        </w:numPr>
        <w:rPr>
          <w:rFonts w:ascii="Arial" w:cs="Arial" w:eastAsia="Arial" w:hAnsi="Arial"/>
          <w:sz w:val="13"/>
          <w:szCs w:val="13"/>
          <w:i w:val="1"/>
          <w:iCs w:val="1"/>
          <w:u w:val="single" w:color="auto"/>
          <w:color w:val="auto"/>
        </w:rPr>
      </w:pPr>
      <w:r>
        <w:rPr>
          <w:rFonts w:ascii="Arial" w:cs="Arial" w:eastAsia="Arial" w:hAnsi="Arial"/>
          <w:sz w:val="13"/>
          <w:szCs w:val="13"/>
          <w:color w:val="auto"/>
        </w:rPr>
        <w:t>“</w:t>
      </w:r>
      <w:r>
        <w:rPr>
          <w:rFonts w:ascii="Arial" w:cs="Arial" w:eastAsia="Arial" w:hAnsi="Arial"/>
          <w:sz w:val="13"/>
          <w:szCs w:val="13"/>
          <w:i w:val="1"/>
          <w:iCs w:val="1"/>
          <w:color w:val="auto"/>
        </w:rPr>
        <w:t>LTV/CAC</w:t>
      </w:r>
      <w:r>
        <w:rPr>
          <w:rFonts w:ascii="Arial" w:cs="Arial" w:eastAsia="Arial" w:hAnsi="Arial"/>
          <w:sz w:val="13"/>
          <w:szCs w:val="13"/>
          <w:color w:val="auto"/>
        </w:rPr>
        <w:t>”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cost to convert a prospect into a customer less other non-commission carrier revenue for such period, or CAC. CAC is comprised of cost of revenue, marketing and advertising expenses and customer care and enrollment expenses less enterprise revenue, excluding cost of revenue adjustments recorded in the period, but relating to performance obligations satisfied in prior periods, and is presented on a per commissionable Approved Submission basis.</w:t>
      </w:r>
    </w:p>
    <w:p>
      <w:pPr>
        <w:spacing w:after="0" w:line="147" w:lineRule="exact"/>
        <w:rPr>
          <w:rFonts w:ascii="Arial" w:cs="Arial" w:eastAsia="Arial" w:hAnsi="Arial"/>
          <w:sz w:val="13"/>
          <w:szCs w:val="13"/>
          <w:i w:val="1"/>
          <w:iCs w:val="1"/>
          <w:u w:val="single" w:color="auto"/>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Submitted Policies</w:t>
      </w:r>
      <w:r>
        <w:rPr>
          <w:rFonts w:ascii="Arial" w:cs="Arial" w:eastAsia="Arial" w:hAnsi="Arial"/>
          <w:sz w:val="13"/>
          <w:szCs w:val="13"/>
          <w:color w:val="auto"/>
        </w:rPr>
        <w:t>” refer to completed applications that, with respect to each such application, the consumer has authorized us to submit to the carrier.</w:t>
      </w:r>
    </w:p>
    <w:p>
      <w:pPr>
        <w:spacing w:after="0" w:line="179"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We use supplemental measures of our performance that are derived from our consolidated financial information, but which are not presented in our Condensed Consolidated Financial Statements prepared in accordance with U.S. generally accepted accounting principles (“GAAP”). These non-GAAP financial measures include EBITDA; Adjusted EBITDA and Adjusted EBITDA Margin. Adjusted EBITDA is the primary financial performance measure used by management to evaluate its business and monitor its results of operations.</w:t>
      </w:r>
    </w:p>
    <w:p>
      <w:pPr>
        <w:spacing w:after="0" w:line="138" w:lineRule="exact"/>
        <w:rPr>
          <w:sz w:val="20"/>
          <w:szCs w:val="20"/>
          <w:color w:val="auto"/>
        </w:rPr>
      </w:pPr>
    </w:p>
    <w:p>
      <w:pPr>
        <w:ind w:right="120"/>
        <w:spacing w:after="0" w:line="275" w:lineRule="auto"/>
        <w:rPr>
          <w:sz w:val="20"/>
          <w:szCs w:val="20"/>
          <w:color w:val="auto"/>
        </w:rPr>
      </w:pPr>
      <w:r>
        <w:rPr>
          <w:rFonts w:ascii="Arial" w:cs="Arial" w:eastAsia="Arial" w:hAnsi="Arial"/>
          <w:sz w:val="12"/>
          <w:szCs w:val="12"/>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3</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b w:val="1"/>
          <w:bCs w:val="1"/>
          <w:color w:val="0A2299"/>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187960</wp:posOffset>
            </wp:positionV>
            <wp:extent cx="7161530" cy="107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1. FINANCIAL STATEMENTS.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00497F"/>
        </w:rPr>
        <w:t>CONDENSED CONSOLIDATED FINANCIAL STATEMENTS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00497F"/>
        </w:rPr>
        <w:t>CONDENSED CONSOLIDATED STATEMENTS OF OPERATIONS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00497F"/>
        </w:rPr>
        <w:t>(in thousands, except per share amounts, unaudited)</w:t>
      </w:r>
    </w:p>
    <w:p>
      <w:pPr>
        <w:sectPr>
          <w:pgSz w:w="11900" w:h="16838" w:orient="portrait"/>
          <w:cols w:equalWidth="0" w:num="1">
            <w:col w:w="11280"/>
          </w:cols>
          <w:pgMar w:left="300" w:top="1116" w:right="319" w:bottom="1440" w:gutter="0" w:footer="0" w:header="0"/>
        </w:sectPr>
      </w:pPr>
    </w:p>
    <w:p>
      <w:pPr>
        <w:spacing w:after="0" w:line="213" w:lineRule="exact"/>
        <w:rPr>
          <w:sz w:val="20"/>
          <w:szCs w:val="20"/>
          <w:color w:val="auto"/>
        </w:rPr>
      </w:pPr>
    </w:p>
    <w:p>
      <w:pPr>
        <w:ind w:left="6620"/>
        <w:spacing w:after="0"/>
        <w:rPr>
          <w:sz w:val="20"/>
          <w:szCs w:val="20"/>
          <w:color w:val="auto"/>
        </w:rPr>
      </w:pPr>
      <w:r>
        <w:rPr>
          <w:rFonts w:ascii="Arial" w:cs="Arial" w:eastAsia="Arial" w:hAnsi="Arial"/>
          <w:sz w:val="11"/>
          <w:szCs w:val="11"/>
          <w:b w:val="1"/>
          <w:bCs w:val="1"/>
          <w:color w:val="auto"/>
        </w:rPr>
        <w:t>Three months ended Jun.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17780</wp:posOffset>
            </wp:positionV>
            <wp:extent cx="165735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23" w:lineRule="exact"/>
        <w:rPr>
          <w:sz w:val="20"/>
          <w:szCs w:val="20"/>
          <w:color w:val="auto"/>
        </w:rPr>
      </w:pPr>
    </w:p>
    <w:p>
      <w:pPr>
        <w:ind w:left="6620"/>
        <w:spacing w:after="0"/>
        <w:tabs>
          <w:tab w:leader="none" w:pos="794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480"/>
        <w:spacing w:after="0"/>
        <w:rPr>
          <w:sz w:val="20"/>
          <w:szCs w:val="20"/>
          <w:color w:val="auto"/>
        </w:rPr>
      </w:pPr>
      <w:r>
        <w:rPr>
          <w:rFonts w:ascii="Arial" w:cs="Arial" w:eastAsia="Arial" w:hAnsi="Arial"/>
          <w:sz w:val="11"/>
          <w:szCs w:val="11"/>
          <w:b w:val="1"/>
          <w:bCs w:val="1"/>
          <w:color w:val="auto"/>
        </w:rPr>
        <w:t>Six months ended Jun.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17780</wp:posOffset>
            </wp:positionV>
            <wp:extent cx="157670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6705" cy="6985"/>
                    </a:xfrm>
                    <a:prstGeom prst="rect">
                      <a:avLst/>
                    </a:prstGeom>
                    <a:noFill/>
                  </pic:spPr>
                </pic:pic>
              </a:graphicData>
            </a:graphic>
          </wp:anchor>
        </w:drawing>
      </w:r>
    </w:p>
    <w:p>
      <w:pPr>
        <w:spacing w:after="0" w:line="23" w:lineRule="exact"/>
        <w:rPr>
          <w:sz w:val="20"/>
          <w:szCs w:val="20"/>
          <w:color w:val="auto"/>
        </w:rPr>
      </w:pPr>
    </w:p>
    <w:p>
      <w:pPr>
        <w:spacing w:after="0"/>
        <w:tabs>
          <w:tab w:leader="none" w:pos="1260" w:val="left"/>
        </w:tabs>
        <w:rPr>
          <w:sz w:val="20"/>
          <w:szCs w:val="20"/>
          <w:color w:val="auto"/>
        </w:rPr>
      </w:pPr>
      <w:r>
        <w:rPr>
          <w:rFonts w:ascii="Arial" w:cs="Arial" w:eastAsia="Arial" w:hAnsi="Arial"/>
          <w:sz w:val="10"/>
          <w:szCs w:val="10"/>
          <w:b w:val="1"/>
          <w:bCs w:val="1"/>
          <w:color w:val="auto"/>
        </w:rPr>
        <w:t>2022</w:t>
      </w:r>
      <w:r>
        <w:rPr>
          <w:sz w:val="20"/>
          <w:szCs w:val="20"/>
          <w:color w:val="auto"/>
        </w:rPr>
        <w:tab/>
      </w:r>
      <w:r>
        <w:rPr>
          <w:rFonts w:ascii="Arial" w:cs="Arial" w:eastAsia="Arial" w:hAnsi="Arial"/>
          <w:sz w:val="10"/>
          <w:szCs w:val="10"/>
          <w:b w:val="1"/>
          <w:bCs w:val="1"/>
          <w:color w:val="auto"/>
        </w:rPr>
        <w:t>2021</w:t>
      </w:r>
    </w:p>
    <w:p>
      <w:pPr>
        <w:spacing w:after="0" w:line="39" w:lineRule="exact"/>
        <w:rPr>
          <w:sz w:val="20"/>
          <w:szCs w:val="20"/>
          <w:color w:val="auto"/>
        </w:rPr>
      </w:pPr>
    </w:p>
    <w:p>
      <w:pPr>
        <w:sectPr>
          <w:pgSz w:w="11900" w:h="16838" w:orient="portrait"/>
          <w:cols w:equalWidth="0" w:num="2">
            <w:col w:w="8560" w:space="720"/>
            <w:col w:w="2000"/>
          </w:cols>
          <w:pgMar w:left="300" w:top="1116" w:right="319" w:bottom="1440" w:gutter="0" w:footer="0" w:header="0"/>
          <w:type w:val="continuous"/>
        </w:sectPr>
      </w:pPr>
    </w:p>
    <w:tbl>
      <w:tblPr>
        <w:tblLayout w:type="fixed"/>
        <w:tblInd w:w="0" w:type="dxa"/>
        <w:tblCellMar>
          <w:top w:w="0" w:type="dxa"/>
          <w:left w:w="0" w:type="dxa"/>
          <w:bottom w:w="0" w:type="dxa"/>
          <w:right w:w="0" w:type="dxa"/>
        </w:tblCellMar>
      </w:tblPr>
      <w:tr>
        <w:trPr>
          <w:trHeight w:val="14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i w:val="1"/>
                <w:iCs w:val="1"/>
                <w:color w:val="auto"/>
              </w:rPr>
              <w:t>Net revenues:</w:t>
            </w:r>
          </w:p>
        </w:tc>
        <w:tc>
          <w:tcPr>
            <w:tcW w:w="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180"/>
              <w:spacing w:after="0"/>
              <w:rPr>
                <w:sz w:val="20"/>
                <w:szCs w:val="20"/>
                <w:color w:val="auto"/>
              </w:rPr>
            </w:pPr>
            <w:r>
              <w:rPr>
                <w:rFonts w:ascii="Arial" w:cs="Arial" w:eastAsia="Arial" w:hAnsi="Arial"/>
                <w:sz w:val="11"/>
                <w:szCs w:val="11"/>
                <w:color w:val="auto"/>
              </w:rPr>
              <w:t>Commission</w:t>
            </w:r>
          </w:p>
        </w:tc>
        <w:tc>
          <w:tcPr>
            <w:tcW w:w="15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118,038</w:t>
            </w:r>
          </w:p>
        </w:tc>
        <w:tc>
          <w:tcPr>
            <w:tcW w:w="100" w:type="dxa"/>
            <w:vAlign w:val="bottom"/>
          </w:tcPr>
          <w:p>
            <w:pPr>
              <w:spacing w:after="0"/>
              <w:rPr>
                <w:sz w:val="13"/>
                <w:szCs w:val="13"/>
                <w:color w:val="auto"/>
              </w:rPr>
            </w:pPr>
          </w:p>
        </w:tc>
        <w:tc>
          <w:tcPr>
            <w:tcW w:w="440" w:type="dxa"/>
            <w:vAlign w:val="bottom"/>
          </w:tcPr>
          <w:p>
            <w:pPr>
              <w:jc w:val="right"/>
              <w:ind w:right="30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147,508</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327,677</w:t>
            </w:r>
          </w:p>
        </w:tc>
        <w:tc>
          <w:tcPr>
            <w:tcW w:w="80" w:type="dxa"/>
            <w:vAlign w:val="bottom"/>
          </w:tcPr>
          <w:p>
            <w:pPr>
              <w:spacing w:after="0"/>
              <w:rPr>
                <w:sz w:val="13"/>
                <w:szCs w:val="13"/>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321,489</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Enterprise</w:t>
            </w: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40,616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49,394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101,570</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79,592</w:t>
            </w:r>
          </w:p>
        </w:tc>
        <w:tc>
          <w:tcPr>
            <w:tcW w:w="0" w:type="dxa"/>
            <w:vAlign w:val="bottom"/>
          </w:tcPr>
          <w:p>
            <w:pPr>
              <w:spacing w:after="0"/>
              <w:rPr>
                <w:sz w:val="1"/>
                <w:szCs w:val="1"/>
                <w:color w:val="auto"/>
              </w:rPr>
            </w:pPr>
          </w:p>
        </w:tc>
      </w:tr>
      <w:tr>
        <w:trPr>
          <w:trHeight w:val="14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revenues</w:t>
            </w:r>
          </w:p>
        </w:tc>
        <w:tc>
          <w:tcPr>
            <w:tcW w:w="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158,654</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196,902</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429,247</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401,081</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Operating expenses:</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180"/>
              <w:spacing w:after="0"/>
              <w:rPr>
                <w:sz w:val="20"/>
                <w:szCs w:val="20"/>
                <w:color w:val="auto"/>
              </w:rPr>
            </w:pPr>
            <w:r>
              <w:rPr>
                <w:rFonts w:ascii="Arial" w:cs="Arial" w:eastAsia="Arial" w:hAnsi="Arial"/>
                <w:sz w:val="11"/>
                <w:szCs w:val="11"/>
                <w:color w:val="auto"/>
              </w:rPr>
              <w:t>Cost of revenue</w:t>
            </w: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51,074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37,442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118,997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85,817</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Marketing and advertising</w:t>
            </w: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44,714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55,735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128,747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110,219</w:t>
            </w:r>
          </w:p>
        </w:tc>
        <w:tc>
          <w:tcPr>
            <w:tcW w:w="0" w:type="dxa"/>
            <w:vAlign w:val="bottom"/>
          </w:tcPr>
          <w:p>
            <w:pPr>
              <w:spacing w:after="0"/>
              <w:rPr>
                <w:sz w:val="1"/>
                <w:szCs w:val="1"/>
                <w:color w:val="auto"/>
              </w:rPr>
            </w:pPr>
          </w:p>
        </w:tc>
      </w:tr>
      <w:tr>
        <w:trPr>
          <w:trHeight w:val="156"/>
        </w:trPr>
        <w:tc>
          <w:tcPr>
            <w:tcW w:w="4860" w:type="dxa"/>
            <w:vAlign w:val="bottom"/>
          </w:tcPr>
          <w:p>
            <w:pPr>
              <w:ind w:left="180"/>
              <w:spacing w:after="0"/>
              <w:rPr>
                <w:sz w:val="20"/>
                <w:szCs w:val="20"/>
                <w:color w:val="auto"/>
              </w:rPr>
            </w:pPr>
            <w:r>
              <w:rPr>
                <w:rFonts w:ascii="Arial" w:cs="Arial" w:eastAsia="Arial" w:hAnsi="Arial"/>
                <w:sz w:val="11"/>
                <w:szCs w:val="11"/>
                <w:color w:val="auto"/>
              </w:rPr>
              <w:t>Customer care and enrollment</w:t>
            </w: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66,542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61,927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144,997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109,021</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Technology</w:t>
            </w: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10,749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11,983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23,508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21,600</w:t>
            </w:r>
          </w:p>
        </w:tc>
        <w:tc>
          <w:tcPr>
            <w:tcW w:w="0" w:type="dxa"/>
            <w:vAlign w:val="bottom"/>
          </w:tcPr>
          <w:p>
            <w:pPr>
              <w:spacing w:after="0"/>
              <w:rPr>
                <w:sz w:val="1"/>
                <w:szCs w:val="1"/>
                <w:color w:val="auto"/>
              </w:rPr>
            </w:pPr>
          </w:p>
        </w:tc>
      </w:tr>
      <w:tr>
        <w:trPr>
          <w:trHeight w:val="156"/>
        </w:trPr>
        <w:tc>
          <w:tcPr>
            <w:tcW w:w="4860" w:type="dxa"/>
            <w:vAlign w:val="bottom"/>
          </w:tcPr>
          <w:p>
            <w:pPr>
              <w:ind w:left="180"/>
              <w:spacing w:after="0"/>
              <w:rPr>
                <w:sz w:val="20"/>
                <w:szCs w:val="20"/>
                <w:color w:val="auto"/>
              </w:rPr>
            </w:pPr>
            <w:r>
              <w:rPr>
                <w:rFonts w:ascii="Arial" w:cs="Arial" w:eastAsia="Arial" w:hAnsi="Arial"/>
                <w:sz w:val="11"/>
                <w:szCs w:val="11"/>
                <w:color w:val="auto"/>
              </w:rPr>
              <w:t>General and administrative</w:t>
            </w: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38,106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25,297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67,323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44,982</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Amortization of intangible assets</w:t>
            </w: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23,515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23,515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47,029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47,029</w:t>
            </w:r>
          </w:p>
        </w:tc>
        <w:tc>
          <w:tcPr>
            <w:tcW w:w="0" w:type="dxa"/>
            <w:vAlign w:val="bottom"/>
          </w:tcPr>
          <w:p>
            <w:pPr>
              <w:spacing w:after="0"/>
              <w:rPr>
                <w:sz w:val="1"/>
                <w:szCs w:val="1"/>
                <w:color w:val="auto"/>
              </w:rPr>
            </w:pPr>
          </w:p>
        </w:tc>
      </w:tr>
      <w:tr>
        <w:trPr>
          <w:trHeight w:val="156"/>
        </w:trPr>
        <w:tc>
          <w:tcPr>
            <w:tcW w:w="4860" w:type="dxa"/>
            <w:vAlign w:val="bottom"/>
          </w:tcPr>
          <w:p>
            <w:pPr>
              <w:ind w:left="180"/>
              <w:spacing w:after="0"/>
              <w:rPr>
                <w:sz w:val="20"/>
                <w:szCs w:val="20"/>
                <w:color w:val="auto"/>
              </w:rPr>
            </w:pPr>
            <w:r>
              <w:rPr>
                <w:rFonts w:ascii="Arial" w:cs="Arial" w:eastAsia="Arial" w:hAnsi="Arial"/>
                <w:sz w:val="11"/>
                <w:szCs w:val="11"/>
                <w:color w:val="auto"/>
              </w:rPr>
              <w:t>Operating lease impairment charges</w:t>
            </w: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24,995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24,995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operating expenses</w:t>
            </w:r>
          </w:p>
        </w:tc>
        <w:tc>
          <w:tcPr>
            <w:tcW w:w="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259,695</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215,899</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555,596</w:t>
            </w: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418,668</w:t>
            </w:r>
          </w:p>
        </w:tc>
        <w:tc>
          <w:tcPr>
            <w:tcW w:w="0" w:type="dxa"/>
            <w:vAlign w:val="bottom"/>
          </w:tcPr>
          <w:p>
            <w:pPr>
              <w:spacing w:after="0"/>
              <w:rPr>
                <w:sz w:val="1"/>
                <w:szCs w:val="1"/>
                <w:color w:val="auto"/>
              </w:rPr>
            </w:pPr>
          </w:p>
        </w:tc>
      </w:tr>
      <w:tr>
        <w:trPr>
          <w:trHeight w:val="147"/>
        </w:trPr>
        <w:tc>
          <w:tcPr>
            <w:tcW w:w="4860" w:type="dxa"/>
            <w:vAlign w:val="bottom"/>
          </w:tcPr>
          <w:p>
            <w:pPr>
              <w:ind w:left="20"/>
              <w:spacing w:after="0"/>
              <w:rPr>
                <w:sz w:val="20"/>
                <w:szCs w:val="20"/>
                <w:color w:val="auto"/>
              </w:rPr>
            </w:pPr>
            <w:r>
              <w:rPr>
                <w:rFonts w:ascii="Arial" w:cs="Arial" w:eastAsia="Arial" w:hAnsi="Arial"/>
                <w:sz w:val="11"/>
                <w:szCs w:val="11"/>
                <w:color w:val="auto"/>
              </w:rPr>
              <w:t>Income (loss) from operations</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(101,041)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(18,997)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(126,349)</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(17,587)</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12,724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8,277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24,122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16,965</w:t>
            </w: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Loss on extinguishment of debt</w:t>
            </w: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11,935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11,935</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 expense, net</w:t>
            </w: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4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Income (loss) before income taxes</w:t>
            </w:r>
          </w:p>
        </w:tc>
        <w:tc>
          <w:tcPr>
            <w:tcW w:w="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(113,752)</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(39,253)</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(150,521)</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(46,544)</w:t>
            </w:r>
          </w:p>
        </w:tc>
        <w:tc>
          <w:tcPr>
            <w:tcW w:w="0" w:type="dxa"/>
            <w:vAlign w:val="bottom"/>
          </w:tcPr>
          <w:p>
            <w:pPr>
              <w:spacing w:after="0"/>
              <w:rPr>
                <w:sz w:val="1"/>
                <w:szCs w:val="1"/>
                <w:color w:val="auto"/>
              </w:rPr>
            </w:pPr>
          </w:p>
        </w:tc>
      </w:tr>
      <w:tr>
        <w:trPr>
          <w:trHeight w:val="15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4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 (loss)</w:t>
            </w:r>
          </w:p>
        </w:tc>
        <w:tc>
          <w:tcPr>
            <w:tcW w:w="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(113,752)</w:t>
            </w:r>
          </w:p>
        </w:tc>
        <w:tc>
          <w:tcPr>
            <w:tcW w:w="1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(39,221)</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(150,993)</w:t>
            </w:r>
          </w:p>
        </w:tc>
        <w:tc>
          <w:tcPr>
            <w:tcW w:w="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(46,481)</w:t>
            </w: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 attributable to non-controlling interests</w:t>
            </w:r>
          </w:p>
        </w:tc>
        <w:tc>
          <w:tcPr>
            <w:tcW w:w="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(69,933)</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(27,217)</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(93,691)</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(32,390)</w:t>
            </w:r>
          </w:p>
        </w:tc>
        <w:tc>
          <w:tcPr>
            <w:tcW w:w="0" w:type="dxa"/>
            <w:vAlign w:val="bottom"/>
          </w:tcPr>
          <w:p>
            <w:pPr>
              <w:spacing w:after="0"/>
              <w:rPr>
                <w:sz w:val="1"/>
                <w:szCs w:val="1"/>
                <w:color w:val="auto"/>
              </w:rPr>
            </w:pPr>
          </w:p>
        </w:tc>
      </w:tr>
      <w:tr>
        <w:trPr>
          <w:trHeight w:val="153"/>
        </w:trPr>
        <w:tc>
          <w:tcPr>
            <w:tcW w:w="4860" w:type="dxa"/>
            <w:vAlign w:val="bottom"/>
          </w:tcPr>
          <w:p>
            <w:pPr>
              <w:ind w:left="20"/>
              <w:spacing w:after="0"/>
              <w:rPr>
                <w:sz w:val="20"/>
                <w:szCs w:val="20"/>
                <w:color w:val="auto"/>
              </w:rPr>
            </w:pPr>
            <w:r>
              <w:rPr>
                <w:rFonts w:ascii="Arial" w:cs="Arial" w:eastAsia="Arial" w:hAnsi="Arial"/>
                <w:sz w:val="11"/>
                <w:szCs w:val="11"/>
                <w:b w:val="1"/>
                <w:bCs w:val="1"/>
                <w:color w:val="auto"/>
              </w:rPr>
              <w:t>Net income (loss) attributable to GoHealth, Inc.</w:t>
            </w:r>
          </w:p>
        </w:tc>
        <w:tc>
          <w:tcPr>
            <w:tcW w:w="15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(43,819)</w:t>
            </w:r>
          </w:p>
        </w:tc>
        <w:tc>
          <w:tcPr>
            <w:tcW w:w="100" w:type="dxa"/>
            <w:vAlign w:val="bottom"/>
          </w:tcPr>
          <w:p>
            <w:pPr>
              <w:spacing w:after="0"/>
              <w:rPr>
                <w:sz w:val="13"/>
                <w:szCs w:val="13"/>
                <w:color w:val="auto"/>
              </w:rPr>
            </w:pPr>
          </w:p>
        </w:tc>
        <w:tc>
          <w:tcPr>
            <w:tcW w:w="440" w:type="dxa"/>
            <w:vAlign w:val="bottom"/>
          </w:tcPr>
          <w:p>
            <w:pPr>
              <w:jc w:val="right"/>
              <w:ind w:right="3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(12,004)</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(57,302)</w:t>
            </w:r>
          </w:p>
        </w:tc>
        <w:tc>
          <w:tcPr>
            <w:tcW w:w="80" w:type="dxa"/>
            <w:vAlign w:val="bottom"/>
          </w:tcPr>
          <w:p>
            <w:pPr>
              <w:spacing w:after="0"/>
              <w:rPr>
                <w:sz w:val="13"/>
                <w:szCs w:val="13"/>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b w:val="1"/>
                <w:bCs w:val="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(14,091)</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86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i w:val="1"/>
                <w:iCs w:val="1"/>
                <w:color w:val="auto"/>
              </w:rPr>
              <w:t>Net loss per share (Note 7):</w:t>
            </w:r>
          </w:p>
        </w:tc>
        <w:tc>
          <w:tcPr>
            <w:tcW w:w="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2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Net loss per share of Class A common stock — basic and diluted</w:t>
            </w:r>
          </w:p>
        </w:tc>
        <w:tc>
          <w:tcPr>
            <w:tcW w:w="15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(0.35)</w:t>
            </w:r>
          </w:p>
        </w:tc>
        <w:tc>
          <w:tcPr>
            <w:tcW w:w="100" w:type="dxa"/>
            <w:vAlign w:val="bottom"/>
          </w:tcPr>
          <w:p>
            <w:pPr>
              <w:spacing w:after="0"/>
              <w:rPr>
                <w:sz w:val="13"/>
                <w:szCs w:val="13"/>
                <w:color w:val="auto"/>
              </w:rPr>
            </w:pPr>
          </w:p>
        </w:tc>
        <w:tc>
          <w:tcPr>
            <w:tcW w:w="440" w:type="dxa"/>
            <w:vAlign w:val="bottom"/>
          </w:tcPr>
          <w:p>
            <w:pPr>
              <w:jc w:val="right"/>
              <w:ind w:right="30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(0.12)</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(0.48)</w:t>
            </w:r>
          </w:p>
        </w:tc>
        <w:tc>
          <w:tcPr>
            <w:tcW w:w="80" w:type="dxa"/>
            <w:vAlign w:val="bottom"/>
          </w:tcPr>
          <w:p>
            <w:pPr>
              <w:spacing w:after="0"/>
              <w:rPr>
                <w:sz w:val="13"/>
                <w:szCs w:val="13"/>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(0.14)</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Weighted-average shares of Class A common stock outstanding — basic and diluted</w:t>
            </w: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124,440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102,300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120,346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97,349</w:t>
            </w:r>
          </w:p>
        </w:tc>
        <w:tc>
          <w:tcPr>
            <w:tcW w:w="0" w:type="dxa"/>
            <w:vAlign w:val="bottom"/>
          </w:tcPr>
          <w:p>
            <w:pPr>
              <w:spacing w:after="0"/>
              <w:rPr>
                <w:sz w:val="1"/>
                <w:szCs w:val="1"/>
                <w:color w:val="auto"/>
              </w:rPr>
            </w:pPr>
          </w:p>
        </w:tc>
      </w:tr>
      <w:tr>
        <w:trPr>
          <w:trHeight w:val="401"/>
        </w:trPr>
        <w:tc>
          <w:tcPr>
            <w:tcW w:w="8800" w:type="dxa"/>
            <w:vAlign w:val="bottom"/>
            <w:gridSpan w:val="9"/>
          </w:tcPr>
          <w:p>
            <w:pPr>
              <w:ind w:left="2780"/>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560" w:type="dxa"/>
            <w:vAlign w:val="bottom"/>
            <w:gridSpan w:val="2"/>
            <w:vMerge w:val="restart"/>
          </w:tcPr>
          <w:p>
            <w:pPr>
              <w:jc w:val="right"/>
              <w:ind w:right="380"/>
              <w:spacing w:after="0"/>
              <w:rPr>
                <w:sz w:val="20"/>
                <w:szCs w:val="20"/>
                <w:color w:val="auto"/>
              </w:rPr>
            </w:pPr>
            <w:r>
              <w:rPr>
                <w:rFonts w:ascii="Arial" w:cs="Arial" w:eastAsia="Arial" w:hAnsi="Arial"/>
                <w:sz w:val="11"/>
                <w:szCs w:val="11"/>
                <w:color w:val="auto"/>
              </w:rPr>
              <w:t>2022 Form 10-Q</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920" w:type="dxa"/>
            <w:vAlign w:val="bottom"/>
            <w:tcBorders>
              <w:left w:val="single" w:sz="8" w:color="auto"/>
            </w:tcBorders>
          </w:tcPr>
          <w:p>
            <w:pPr>
              <w:jc w:val="right"/>
              <w:ind w:right="723"/>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6" w:right="31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00497F"/>
        </w:rPr>
        <w:t>CONDENSED CONSOLIDATED STATEMENTS OF COMPREHENSIVE INCOME (LOSS)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unaudited)</w:t>
      </w:r>
    </w:p>
    <w:p>
      <w:pPr>
        <w:sectPr>
          <w:pgSz w:w="11900" w:h="16838" w:orient="portrait"/>
          <w:cols w:equalWidth="0" w:num="1">
            <w:col w:w="11280"/>
          </w:cols>
          <w:pgMar w:left="300" w:top="1073" w:right="319" w:bottom="1440" w:gutter="0" w:footer="0" w:header="0"/>
        </w:sectPr>
      </w:pPr>
    </w:p>
    <w:p>
      <w:pPr>
        <w:spacing w:after="0" w:line="203" w:lineRule="exact"/>
        <w:rPr>
          <w:sz w:val="20"/>
          <w:szCs w:val="20"/>
          <w:color w:val="auto"/>
        </w:rPr>
      </w:pPr>
    </w:p>
    <w:p>
      <w:pPr>
        <w:ind w:left="6620"/>
        <w:spacing w:after="0"/>
        <w:rPr>
          <w:sz w:val="20"/>
          <w:szCs w:val="20"/>
          <w:color w:val="auto"/>
        </w:rPr>
      </w:pPr>
      <w:r>
        <w:rPr>
          <w:rFonts w:ascii="Arial" w:cs="Arial" w:eastAsia="Arial" w:hAnsi="Arial"/>
          <w:sz w:val="11"/>
          <w:szCs w:val="11"/>
          <w:b w:val="1"/>
          <w:bCs w:val="1"/>
          <w:color w:val="auto"/>
        </w:rPr>
        <w:t>Three months ended Jun.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17780</wp:posOffset>
            </wp:positionV>
            <wp:extent cx="165735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23" w:lineRule="exact"/>
        <w:rPr>
          <w:sz w:val="20"/>
          <w:szCs w:val="20"/>
          <w:color w:val="auto"/>
        </w:rPr>
      </w:pPr>
    </w:p>
    <w:p>
      <w:pPr>
        <w:ind w:left="6620"/>
        <w:spacing w:after="0"/>
        <w:tabs>
          <w:tab w:leader="none" w:pos="794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480"/>
        <w:spacing w:after="0"/>
        <w:rPr>
          <w:sz w:val="20"/>
          <w:szCs w:val="20"/>
          <w:color w:val="auto"/>
        </w:rPr>
      </w:pPr>
      <w:r>
        <w:rPr>
          <w:rFonts w:ascii="Arial" w:cs="Arial" w:eastAsia="Arial" w:hAnsi="Arial"/>
          <w:sz w:val="11"/>
          <w:szCs w:val="11"/>
          <w:b w:val="1"/>
          <w:bCs w:val="1"/>
          <w:color w:val="auto"/>
        </w:rPr>
        <w:t>Six months ended Jun.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17780</wp:posOffset>
            </wp:positionV>
            <wp:extent cx="157670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76705" cy="6985"/>
                    </a:xfrm>
                    <a:prstGeom prst="rect">
                      <a:avLst/>
                    </a:prstGeom>
                    <a:noFill/>
                  </pic:spPr>
                </pic:pic>
              </a:graphicData>
            </a:graphic>
          </wp:anchor>
        </w:drawing>
      </w:r>
    </w:p>
    <w:p>
      <w:pPr>
        <w:spacing w:after="0" w:line="23" w:lineRule="exact"/>
        <w:rPr>
          <w:sz w:val="20"/>
          <w:szCs w:val="20"/>
          <w:color w:val="auto"/>
        </w:rPr>
      </w:pPr>
    </w:p>
    <w:p>
      <w:pPr>
        <w:spacing w:after="0"/>
        <w:tabs>
          <w:tab w:leader="none" w:pos="1260" w:val="left"/>
        </w:tabs>
        <w:rPr>
          <w:sz w:val="20"/>
          <w:szCs w:val="20"/>
          <w:color w:val="auto"/>
        </w:rPr>
      </w:pPr>
      <w:r>
        <w:rPr>
          <w:rFonts w:ascii="Arial" w:cs="Arial" w:eastAsia="Arial" w:hAnsi="Arial"/>
          <w:sz w:val="10"/>
          <w:szCs w:val="10"/>
          <w:b w:val="1"/>
          <w:bCs w:val="1"/>
          <w:color w:val="auto"/>
        </w:rPr>
        <w:t>2022</w:t>
      </w:r>
      <w:r>
        <w:rPr>
          <w:sz w:val="20"/>
          <w:szCs w:val="20"/>
          <w:color w:val="auto"/>
        </w:rPr>
        <w:tab/>
      </w:r>
      <w:r>
        <w:rPr>
          <w:rFonts w:ascii="Arial" w:cs="Arial" w:eastAsia="Arial" w:hAnsi="Arial"/>
          <w:sz w:val="10"/>
          <w:szCs w:val="10"/>
          <w:b w:val="1"/>
          <w:bCs w:val="1"/>
          <w:color w:val="auto"/>
        </w:rPr>
        <w:t>2021</w:t>
      </w:r>
    </w:p>
    <w:p>
      <w:pPr>
        <w:spacing w:after="0" w:line="39" w:lineRule="exact"/>
        <w:rPr>
          <w:sz w:val="20"/>
          <w:szCs w:val="20"/>
          <w:color w:val="auto"/>
        </w:rPr>
      </w:pPr>
    </w:p>
    <w:p>
      <w:pPr>
        <w:sectPr>
          <w:pgSz w:w="11900" w:h="16838" w:orient="portrait"/>
          <w:cols w:equalWidth="0" w:num="2">
            <w:col w:w="8560" w:space="720"/>
            <w:col w:w="2000"/>
          </w:cols>
          <w:pgMar w:left="300" w:top="1073" w:right="31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1240" w:type="dxa"/>
            <w:vAlign w:val="bottom"/>
            <w:tcBorders>
              <w:top w:val="single" w:sz="8" w:color="CCEEFF"/>
            </w:tcBorders>
            <w:gridSpan w:val="2"/>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(113,752)</w:t>
            </w: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(39,221)</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(150,993)</w:t>
            </w: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(46,481)</w:t>
            </w: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i w:val="1"/>
                <w:iCs w:val="1"/>
                <w:color w:val="auto"/>
              </w:rPr>
              <w:t>Other comprehensive income (loss):</w:t>
            </w: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Foreign currency translation adjustments</w:t>
            </w: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(462)</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w:t>
            </w:r>
          </w:p>
        </w:tc>
        <w:tc>
          <w:tcPr>
            <w:tcW w:w="0" w:type="dxa"/>
            <w:vAlign w:val="bottom"/>
          </w:tcPr>
          <w:p>
            <w:pPr>
              <w:spacing w:after="0"/>
              <w:rPr>
                <w:sz w:val="1"/>
                <w:szCs w:val="1"/>
                <w:color w:val="auto"/>
              </w:rPr>
            </w:pPr>
          </w:p>
        </w:tc>
      </w:tr>
      <w:tr>
        <w:trPr>
          <w:trHeight w:val="14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Comprehensive income (loss)</w:t>
            </w:r>
          </w:p>
        </w:tc>
        <w:tc>
          <w:tcPr>
            <w:tcW w:w="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(114,097)</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(39,327)</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(151,455)</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(46,580)</w:t>
            </w: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Comprehensive income (loss) attributable to non-controlling interests</w:t>
            </w:r>
          </w:p>
        </w:tc>
        <w:tc>
          <w:tcPr>
            <w:tcW w:w="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(70,145)</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(27,291)</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(93,978)</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(32,459)</w:t>
            </w:r>
          </w:p>
        </w:tc>
        <w:tc>
          <w:tcPr>
            <w:tcW w:w="0" w:type="dxa"/>
            <w:vAlign w:val="bottom"/>
          </w:tcPr>
          <w:p>
            <w:pPr>
              <w:spacing w:after="0"/>
              <w:rPr>
                <w:sz w:val="1"/>
                <w:szCs w:val="1"/>
                <w:color w:val="auto"/>
              </w:rPr>
            </w:pPr>
          </w:p>
        </w:tc>
      </w:tr>
      <w:tr>
        <w:trPr>
          <w:trHeight w:val="153"/>
        </w:trPr>
        <w:tc>
          <w:tcPr>
            <w:tcW w:w="4860" w:type="dxa"/>
            <w:vAlign w:val="bottom"/>
          </w:tcPr>
          <w:p>
            <w:pPr>
              <w:ind w:left="20"/>
              <w:spacing w:after="0"/>
              <w:rPr>
                <w:sz w:val="20"/>
                <w:szCs w:val="20"/>
                <w:color w:val="auto"/>
              </w:rPr>
            </w:pPr>
            <w:r>
              <w:rPr>
                <w:rFonts w:ascii="Arial" w:cs="Arial" w:eastAsia="Arial" w:hAnsi="Arial"/>
                <w:sz w:val="11"/>
                <w:szCs w:val="11"/>
                <w:b w:val="1"/>
                <w:bCs w:val="1"/>
                <w:color w:val="auto"/>
              </w:rPr>
              <w:t>Comprehensive income (loss) attributable to GoHealth, Inc.</w:t>
            </w:r>
          </w:p>
        </w:tc>
        <w:tc>
          <w:tcPr>
            <w:tcW w:w="1240" w:type="dxa"/>
            <w:vAlign w:val="bottom"/>
            <w:gridSpan w:val="2"/>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(43,952)</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(12,036)</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(57,477)</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(14,121)</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8800" w:type="dxa"/>
            <w:vAlign w:val="bottom"/>
            <w:gridSpan w:val="9"/>
          </w:tcPr>
          <w:p>
            <w:pPr>
              <w:ind w:left="2760"/>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560" w:type="dxa"/>
            <w:vAlign w:val="bottom"/>
            <w:gridSpan w:val="2"/>
            <w:vMerge w:val="restart"/>
          </w:tcPr>
          <w:p>
            <w:pPr>
              <w:jc w:val="right"/>
              <w:ind w:right="323"/>
              <w:spacing w:after="0"/>
              <w:rPr>
                <w:sz w:val="20"/>
                <w:szCs w:val="20"/>
                <w:color w:val="auto"/>
              </w:rPr>
            </w:pPr>
            <w:r>
              <w:rPr>
                <w:rFonts w:ascii="Arial" w:cs="Arial" w:eastAsia="Arial" w:hAnsi="Arial"/>
                <w:sz w:val="11"/>
                <w:szCs w:val="11"/>
                <w:color w:val="auto"/>
              </w:rPr>
              <w:t>2022 Form 10-Q</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920" w:type="dxa"/>
            <w:vAlign w:val="bottom"/>
            <w:tcBorders>
              <w:left w:val="single" w:sz="8" w:color="auto"/>
            </w:tcBorders>
          </w:tcPr>
          <w:p>
            <w:pPr>
              <w:jc w:val="right"/>
              <w:ind w:right="723"/>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00497F"/>
        </w:rPr>
        <w:t>CONDENSED CONSOLIDATED BALANCE SHEETS</w:t>
      </w:r>
    </w:p>
    <w:p>
      <w:pPr>
        <w:spacing w:after="0" w:line="54" w:lineRule="exact"/>
        <w:rPr>
          <w:sz w:val="20"/>
          <w:szCs w:val="20"/>
          <w:color w:val="auto"/>
        </w:rPr>
      </w:pPr>
    </w:p>
    <w:p>
      <w:pPr>
        <w:ind w:left="4160"/>
        <w:spacing w:after="0"/>
        <w:rPr>
          <w:sz w:val="20"/>
          <w:szCs w:val="20"/>
          <w:color w:val="auto"/>
        </w:rPr>
      </w:pPr>
      <w:r>
        <w:rPr>
          <w:rFonts w:ascii="Arial" w:cs="Arial" w:eastAsia="Arial" w:hAnsi="Arial"/>
          <w:sz w:val="13"/>
          <w:szCs w:val="13"/>
          <w:i w:val="1"/>
          <w:iCs w:val="1"/>
          <w:color w:val="00497F"/>
        </w:rPr>
        <w:t>(in thousands, except per share amounts,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 30, 2022</w:t>
            </w:r>
          </w:p>
        </w:tc>
        <w:tc>
          <w:tcPr>
            <w:tcW w:w="280" w:type="dxa"/>
            <w:vAlign w:val="bottom"/>
          </w:tcPr>
          <w:p>
            <w:pPr>
              <w:spacing w:after="0"/>
              <w:rPr>
                <w:sz w:val="13"/>
                <w:szCs w:val="13"/>
                <w:color w:val="auto"/>
              </w:rPr>
            </w:pPr>
          </w:p>
        </w:tc>
        <w:tc>
          <w:tcPr>
            <w:tcW w:w="1360" w:type="dxa"/>
            <w:vAlign w:val="bottom"/>
          </w:tcPr>
          <w:p>
            <w:pPr>
              <w:jc w:val="right"/>
              <w:ind w:right="403"/>
              <w:spacing w:after="0"/>
              <w:rPr>
                <w:sz w:val="20"/>
                <w:szCs w:val="20"/>
                <w:color w:val="auto"/>
              </w:rPr>
            </w:pPr>
            <w:r>
              <w:rPr>
                <w:rFonts w:ascii="Arial" w:cs="Arial" w:eastAsia="Arial" w:hAnsi="Arial"/>
                <w:sz w:val="11"/>
                <w:szCs w:val="11"/>
                <w:b w:val="1"/>
                <w:bCs w:val="1"/>
                <w:color w:val="auto"/>
              </w:rPr>
              <w:t>Dec. 31, 2021</w:t>
            </w:r>
          </w:p>
        </w:tc>
        <w:tc>
          <w:tcPr>
            <w:tcW w:w="0" w:type="dxa"/>
            <w:vAlign w:val="bottom"/>
          </w:tcPr>
          <w:p>
            <w:pPr>
              <w:spacing w:after="0"/>
              <w:rPr>
                <w:sz w:val="1"/>
                <w:szCs w:val="1"/>
                <w:color w:val="auto"/>
              </w:rPr>
            </w:pPr>
          </w:p>
        </w:tc>
      </w:tr>
      <w:tr>
        <w:trPr>
          <w:trHeight w:val="139"/>
        </w:trPr>
        <w:tc>
          <w:tcPr>
            <w:tcW w:w="5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3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CCEEFF"/>
              <w:left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60" w:type="dxa"/>
            <w:vAlign w:val="bottom"/>
            <w:gridSpan w:val="2"/>
          </w:tcPr>
          <w:p>
            <w:pPr>
              <w:ind w:left="20"/>
              <w:spacing w:after="0"/>
              <w:rPr>
                <w:sz w:val="20"/>
                <w:szCs w:val="20"/>
                <w:color w:val="auto"/>
              </w:rPr>
            </w:pPr>
            <w:r>
              <w:rPr>
                <w:rFonts w:ascii="Arial" w:cs="Arial" w:eastAsia="Arial" w:hAnsi="Arial"/>
                <w:sz w:val="11"/>
                <w:szCs w:val="11"/>
                <w:i w:val="1"/>
                <w:iCs w:val="1"/>
                <w:color w:val="auto"/>
              </w:rPr>
              <w:t>Current assets:</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Cash and cash equivalents</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76,156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84,361</w:t>
            </w:r>
          </w:p>
        </w:tc>
        <w:tc>
          <w:tcPr>
            <w:tcW w:w="0" w:type="dxa"/>
            <w:vAlign w:val="bottom"/>
          </w:tcPr>
          <w:p>
            <w:pPr>
              <w:spacing w:after="0"/>
              <w:rPr>
                <w:sz w:val="1"/>
                <w:szCs w:val="1"/>
                <w:color w:val="auto"/>
              </w:rPr>
            </w:pPr>
          </w:p>
        </w:tc>
      </w:tr>
      <w:tr>
        <w:trPr>
          <w:trHeight w:val="156"/>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Accounts receivable, net of allowance for doubtful accounts of $905 in 2022 and $558 in 2021</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38,250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17,276</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Commissions receivable - current</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198,647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268,663</w:t>
            </w:r>
          </w:p>
        </w:tc>
        <w:tc>
          <w:tcPr>
            <w:tcW w:w="0" w:type="dxa"/>
            <w:vAlign w:val="bottom"/>
          </w:tcPr>
          <w:p>
            <w:pPr>
              <w:spacing w:after="0"/>
              <w:rPr>
                <w:sz w:val="1"/>
                <w:szCs w:val="1"/>
                <w:color w:val="auto"/>
              </w:rPr>
            </w:pPr>
          </w:p>
        </w:tc>
      </w:tr>
      <w:tr>
        <w:trPr>
          <w:trHeight w:val="156"/>
        </w:trPr>
        <w:tc>
          <w:tcPr>
            <w:tcW w:w="5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Prepaid expense and other current assets</w:t>
            </w:r>
          </w:p>
        </w:tc>
        <w:tc>
          <w:tcPr>
            <w:tcW w:w="138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19,955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58,695</w:t>
            </w:r>
          </w:p>
        </w:tc>
        <w:tc>
          <w:tcPr>
            <w:tcW w:w="0" w:type="dxa"/>
            <w:vAlign w:val="bottom"/>
          </w:tcPr>
          <w:p>
            <w:pPr>
              <w:spacing w:after="0"/>
              <w:rPr>
                <w:sz w:val="1"/>
                <w:szCs w:val="1"/>
                <w:color w:val="auto"/>
              </w:rPr>
            </w:pPr>
          </w:p>
        </w:tc>
      </w:tr>
      <w:tr>
        <w:trPr>
          <w:trHeight w:val="15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current assets</w:t>
            </w:r>
          </w:p>
        </w:tc>
        <w:tc>
          <w:tcPr>
            <w:tcW w:w="1380" w:type="dxa"/>
            <w:vAlign w:val="bottom"/>
            <w:shd w:val="clear" w:color="auto" w:fill="CCEEFF"/>
          </w:tcPr>
          <w:p>
            <w:pPr>
              <w:spacing w:after="0"/>
              <w:rPr>
                <w:sz w:val="13"/>
                <w:szCs w:val="13"/>
                <w:color w:val="auto"/>
              </w:rPr>
            </w:pPr>
          </w:p>
        </w:tc>
        <w:tc>
          <w:tcPr>
            <w:tcW w:w="1460" w:type="dxa"/>
            <w:vAlign w:val="bottom"/>
            <w:tcBorders>
              <w:left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333,008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428,995</w:t>
            </w:r>
          </w:p>
        </w:tc>
        <w:tc>
          <w:tcPr>
            <w:tcW w:w="0" w:type="dxa"/>
            <w:vAlign w:val="bottom"/>
          </w:tcPr>
          <w:p>
            <w:pPr>
              <w:spacing w:after="0"/>
              <w:rPr>
                <w:sz w:val="1"/>
                <w:szCs w:val="1"/>
                <w:color w:val="auto"/>
              </w:rPr>
            </w:pPr>
          </w:p>
        </w:tc>
      </w:tr>
      <w:tr>
        <w:trPr>
          <w:trHeight w:val="147"/>
        </w:trPr>
        <w:tc>
          <w:tcPr>
            <w:tcW w:w="5060" w:type="dxa"/>
            <w:vAlign w:val="bottom"/>
            <w:gridSpan w:val="2"/>
          </w:tcPr>
          <w:p>
            <w:pPr>
              <w:ind w:left="20"/>
              <w:spacing w:after="0"/>
              <w:rPr>
                <w:sz w:val="20"/>
                <w:szCs w:val="20"/>
                <w:color w:val="auto"/>
              </w:rPr>
            </w:pPr>
            <w:r>
              <w:rPr>
                <w:rFonts w:ascii="Arial" w:cs="Arial" w:eastAsia="Arial" w:hAnsi="Arial"/>
                <w:sz w:val="11"/>
                <w:szCs w:val="11"/>
                <w:color w:val="auto"/>
              </w:rPr>
              <w:t>Commissions receivable - non-current</w:t>
            </w: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961,999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993,844</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Operating lease ROU asset</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22,987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23,462</w:t>
            </w:r>
          </w:p>
        </w:tc>
        <w:tc>
          <w:tcPr>
            <w:tcW w:w="0" w:type="dxa"/>
            <w:vAlign w:val="bottom"/>
          </w:tcPr>
          <w:p>
            <w:pPr>
              <w:spacing w:after="0"/>
              <w:rPr>
                <w:sz w:val="1"/>
                <w:szCs w:val="1"/>
                <w:color w:val="auto"/>
              </w:rPr>
            </w:pPr>
          </w:p>
        </w:tc>
      </w:tr>
      <w:tr>
        <w:trPr>
          <w:trHeight w:val="156"/>
        </w:trPr>
        <w:tc>
          <w:tcPr>
            <w:tcW w:w="5060" w:type="dxa"/>
            <w:vAlign w:val="bottom"/>
            <w:gridSpan w:val="2"/>
          </w:tcPr>
          <w:p>
            <w:pPr>
              <w:ind w:left="20"/>
              <w:spacing w:after="0"/>
              <w:rPr>
                <w:sz w:val="20"/>
                <w:szCs w:val="20"/>
                <w:color w:val="auto"/>
              </w:rPr>
            </w:pPr>
            <w:r>
              <w:rPr>
                <w:rFonts w:ascii="Arial" w:cs="Arial" w:eastAsia="Arial" w:hAnsi="Arial"/>
                <w:sz w:val="11"/>
                <w:szCs w:val="11"/>
                <w:color w:val="auto"/>
              </w:rPr>
              <w:t>Other long-term assets</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2,437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3,608</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Property, equipment, and capitalized software, net</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29,986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24,273</w:t>
            </w:r>
          </w:p>
        </w:tc>
        <w:tc>
          <w:tcPr>
            <w:tcW w:w="0" w:type="dxa"/>
            <w:vAlign w:val="bottom"/>
          </w:tcPr>
          <w:p>
            <w:pPr>
              <w:spacing w:after="0"/>
              <w:rPr>
                <w:sz w:val="1"/>
                <w:szCs w:val="1"/>
                <w:color w:val="auto"/>
              </w:rPr>
            </w:pPr>
          </w:p>
        </w:tc>
      </w:tr>
      <w:tr>
        <w:trPr>
          <w:trHeight w:val="156"/>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Intangible assets, net</w:t>
            </w:r>
          </w:p>
        </w:tc>
        <w:tc>
          <w:tcPr>
            <w:tcW w:w="138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547,640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594,669</w:t>
            </w:r>
          </w:p>
        </w:tc>
        <w:tc>
          <w:tcPr>
            <w:tcW w:w="0" w:type="dxa"/>
            <w:vAlign w:val="bottom"/>
          </w:tcPr>
          <w:p>
            <w:pPr>
              <w:spacing w:after="0"/>
              <w:rPr>
                <w:sz w:val="1"/>
                <w:szCs w:val="1"/>
                <w:color w:val="auto"/>
              </w:rPr>
            </w:pPr>
          </w:p>
        </w:tc>
      </w:tr>
      <w:tr>
        <w:trPr>
          <w:trHeight w:val="17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 assets</w:t>
            </w:r>
          </w:p>
        </w:tc>
        <w:tc>
          <w:tcPr>
            <w:tcW w:w="13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left w:val="single" w:sz="8" w:color="CCEEFF"/>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1,898,057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2,068,851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1"/>
                <w:szCs w:val="11"/>
                <w:b w:val="1"/>
                <w:bCs w:val="1"/>
                <w:color w:val="auto"/>
              </w:rPr>
              <w:t>Liabilities and Stockholders’ Equity</w:t>
            </w:r>
          </w:p>
        </w:tc>
        <w:tc>
          <w:tcPr>
            <w:tcW w:w="13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060" w:type="dxa"/>
            <w:vAlign w:val="bottom"/>
            <w:gridSpan w:val="2"/>
            <w:vMerge w:val="continue"/>
          </w:tcPr>
          <w:p>
            <w:pPr>
              <w:spacing w:after="0"/>
              <w:rPr>
                <w:sz w:val="8"/>
                <w:szCs w:val="8"/>
                <w:color w:val="auto"/>
              </w:rPr>
            </w:pPr>
          </w:p>
        </w:tc>
        <w:tc>
          <w:tcPr>
            <w:tcW w:w="13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i w:val="1"/>
                <w:iCs w:val="1"/>
                <w:color w:val="auto"/>
              </w:rPr>
              <w:t>Current liabilities:</w:t>
            </w:r>
          </w:p>
        </w:tc>
        <w:tc>
          <w:tcPr>
            <w:tcW w:w="1380" w:type="dxa"/>
            <w:vAlign w:val="bottom"/>
            <w:shd w:val="clear" w:color="auto" w:fill="CCEEFF"/>
          </w:tcPr>
          <w:p>
            <w:pPr>
              <w:spacing w:after="0"/>
              <w:rPr>
                <w:sz w:val="13"/>
                <w:szCs w:val="13"/>
                <w:color w:val="auto"/>
              </w:rPr>
            </w:pPr>
          </w:p>
        </w:tc>
        <w:tc>
          <w:tcPr>
            <w:tcW w:w="1460" w:type="dxa"/>
            <w:vAlign w:val="bottom"/>
            <w:tcBorders>
              <w:lef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Accounts payable</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14,641</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39,843</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Accrued liabilities</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33,234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52,788</w:t>
            </w:r>
          </w:p>
        </w:tc>
        <w:tc>
          <w:tcPr>
            <w:tcW w:w="0" w:type="dxa"/>
            <w:vAlign w:val="bottom"/>
          </w:tcPr>
          <w:p>
            <w:pPr>
              <w:spacing w:after="0"/>
              <w:rPr>
                <w:sz w:val="1"/>
                <w:szCs w:val="1"/>
                <w:color w:val="auto"/>
              </w:rPr>
            </w:pPr>
          </w:p>
        </w:tc>
      </w:tr>
      <w:tr>
        <w:trPr>
          <w:trHeight w:val="156"/>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Commissions payable - current</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60,294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104,160</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Short-term operating lease liability</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9,998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6,126</w:t>
            </w:r>
          </w:p>
        </w:tc>
        <w:tc>
          <w:tcPr>
            <w:tcW w:w="0" w:type="dxa"/>
            <w:vAlign w:val="bottom"/>
          </w:tcPr>
          <w:p>
            <w:pPr>
              <w:spacing w:after="0"/>
              <w:rPr>
                <w:sz w:val="1"/>
                <w:szCs w:val="1"/>
                <w:color w:val="auto"/>
              </w:rPr>
            </w:pPr>
          </w:p>
        </w:tc>
      </w:tr>
      <w:tr>
        <w:trPr>
          <w:trHeight w:val="156"/>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Deferred revenue</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2,691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536</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Current portion of long-term debt</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5,270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5,270</w:t>
            </w:r>
          </w:p>
        </w:tc>
        <w:tc>
          <w:tcPr>
            <w:tcW w:w="0" w:type="dxa"/>
            <w:vAlign w:val="bottom"/>
          </w:tcPr>
          <w:p>
            <w:pPr>
              <w:spacing w:after="0"/>
              <w:rPr>
                <w:sz w:val="1"/>
                <w:szCs w:val="1"/>
                <w:color w:val="auto"/>
              </w:rPr>
            </w:pPr>
          </w:p>
        </w:tc>
      </w:tr>
      <w:tr>
        <w:trPr>
          <w:trHeight w:val="156"/>
        </w:trPr>
        <w:tc>
          <w:tcPr>
            <w:tcW w:w="5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Other current liabilities</w:t>
            </w:r>
          </w:p>
        </w:tc>
        <w:tc>
          <w:tcPr>
            <w:tcW w:w="138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15,764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8,344</w:t>
            </w:r>
          </w:p>
        </w:tc>
        <w:tc>
          <w:tcPr>
            <w:tcW w:w="0" w:type="dxa"/>
            <w:vAlign w:val="bottom"/>
          </w:tcPr>
          <w:p>
            <w:pPr>
              <w:spacing w:after="0"/>
              <w:rPr>
                <w:sz w:val="1"/>
                <w:szCs w:val="1"/>
                <w:color w:val="auto"/>
              </w:rPr>
            </w:pPr>
          </w:p>
        </w:tc>
      </w:tr>
      <w:tr>
        <w:trPr>
          <w:trHeight w:val="15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current liabilities</w:t>
            </w:r>
          </w:p>
        </w:tc>
        <w:tc>
          <w:tcPr>
            <w:tcW w:w="1380" w:type="dxa"/>
            <w:vAlign w:val="bottom"/>
            <w:shd w:val="clear" w:color="auto" w:fill="CCEEFF"/>
          </w:tcPr>
          <w:p>
            <w:pPr>
              <w:spacing w:after="0"/>
              <w:rPr>
                <w:sz w:val="13"/>
                <w:szCs w:val="13"/>
                <w:color w:val="auto"/>
              </w:rPr>
            </w:pPr>
          </w:p>
        </w:tc>
        <w:tc>
          <w:tcPr>
            <w:tcW w:w="1460" w:type="dxa"/>
            <w:vAlign w:val="bottom"/>
            <w:tcBorders>
              <w:left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141,892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217,067</w:t>
            </w:r>
          </w:p>
        </w:tc>
        <w:tc>
          <w:tcPr>
            <w:tcW w:w="0" w:type="dxa"/>
            <w:vAlign w:val="bottom"/>
          </w:tcPr>
          <w:p>
            <w:pPr>
              <w:spacing w:after="0"/>
              <w:rPr>
                <w:sz w:val="1"/>
                <w:szCs w:val="1"/>
                <w:color w:val="auto"/>
              </w:rPr>
            </w:pPr>
          </w:p>
        </w:tc>
      </w:tr>
      <w:tr>
        <w:trPr>
          <w:trHeight w:val="136"/>
        </w:trPr>
        <w:tc>
          <w:tcPr>
            <w:tcW w:w="5060" w:type="dxa"/>
            <w:vAlign w:val="bottom"/>
            <w:gridSpan w:val="2"/>
          </w:tcPr>
          <w:p>
            <w:pPr>
              <w:ind w:left="20"/>
              <w:spacing w:after="0"/>
              <w:rPr>
                <w:sz w:val="20"/>
                <w:szCs w:val="20"/>
                <w:color w:val="auto"/>
              </w:rPr>
            </w:pPr>
            <w:r>
              <w:rPr>
                <w:rFonts w:ascii="Arial" w:cs="Arial" w:eastAsia="Arial" w:hAnsi="Arial"/>
                <w:sz w:val="11"/>
                <w:szCs w:val="11"/>
                <w:i w:val="1"/>
                <w:iCs w:val="1"/>
                <w:color w:val="auto"/>
              </w:rPr>
              <w:t>Non-current liabilities:</w:t>
            </w:r>
          </w:p>
        </w:tc>
        <w:tc>
          <w:tcPr>
            <w:tcW w:w="13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Commissions payable - non-current</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291,990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274,403</w:t>
            </w:r>
          </w:p>
        </w:tc>
        <w:tc>
          <w:tcPr>
            <w:tcW w:w="0" w:type="dxa"/>
            <w:vAlign w:val="bottom"/>
          </w:tcPr>
          <w:p>
            <w:pPr>
              <w:spacing w:after="0"/>
              <w:rPr>
                <w:sz w:val="1"/>
                <w:szCs w:val="1"/>
                <w:color w:val="auto"/>
              </w:rPr>
            </w:pPr>
          </w:p>
        </w:tc>
      </w:tr>
      <w:tr>
        <w:trPr>
          <w:trHeight w:val="156"/>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Long-term operating lease liability</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40,947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19,776</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Long-term debt, net of current portion</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662,018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665,115</w:t>
            </w:r>
          </w:p>
        </w:tc>
        <w:tc>
          <w:tcPr>
            <w:tcW w:w="0" w:type="dxa"/>
            <w:vAlign w:val="bottom"/>
          </w:tcPr>
          <w:p>
            <w:pPr>
              <w:spacing w:after="0"/>
              <w:rPr>
                <w:sz w:val="1"/>
                <w:szCs w:val="1"/>
                <w:color w:val="auto"/>
              </w:rPr>
            </w:pPr>
          </w:p>
        </w:tc>
      </w:tr>
      <w:tr>
        <w:trPr>
          <w:trHeight w:val="156"/>
        </w:trPr>
        <w:tc>
          <w:tcPr>
            <w:tcW w:w="5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Other non-current liabilities</w:t>
            </w:r>
          </w:p>
        </w:tc>
        <w:tc>
          <w:tcPr>
            <w:tcW w:w="138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2,889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non-current liabilities</w:t>
            </w:r>
          </w:p>
        </w:tc>
        <w:tc>
          <w:tcPr>
            <w:tcW w:w="1380" w:type="dxa"/>
            <w:vAlign w:val="bottom"/>
            <w:shd w:val="clear" w:color="auto" w:fill="CCEEFF"/>
          </w:tcPr>
          <w:p>
            <w:pPr>
              <w:spacing w:after="0"/>
              <w:rPr>
                <w:sz w:val="13"/>
                <w:szCs w:val="13"/>
                <w:color w:val="auto"/>
              </w:rPr>
            </w:pPr>
          </w:p>
        </w:tc>
        <w:tc>
          <w:tcPr>
            <w:tcW w:w="1460" w:type="dxa"/>
            <w:vAlign w:val="bottom"/>
            <w:tcBorders>
              <w:left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997,844</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959,294</w:t>
            </w:r>
          </w:p>
        </w:tc>
        <w:tc>
          <w:tcPr>
            <w:tcW w:w="0" w:type="dxa"/>
            <w:vAlign w:val="bottom"/>
          </w:tcPr>
          <w:p>
            <w:pPr>
              <w:spacing w:after="0"/>
              <w:rPr>
                <w:sz w:val="1"/>
                <w:szCs w:val="1"/>
                <w:color w:val="auto"/>
              </w:rPr>
            </w:pPr>
          </w:p>
        </w:tc>
      </w:tr>
      <w:tr>
        <w:trPr>
          <w:trHeight w:val="136"/>
        </w:trPr>
        <w:tc>
          <w:tcPr>
            <w:tcW w:w="5060" w:type="dxa"/>
            <w:vAlign w:val="bottom"/>
            <w:gridSpan w:val="2"/>
          </w:tcPr>
          <w:p>
            <w:pPr>
              <w:ind w:left="20"/>
              <w:spacing w:after="0"/>
              <w:rPr>
                <w:sz w:val="20"/>
                <w:szCs w:val="20"/>
                <w:color w:val="auto"/>
              </w:rPr>
            </w:pPr>
            <w:r>
              <w:rPr>
                <w:rFonts w:ascii="Arial" w:cs="Arial" w:eastAsia="Arial" w:hAnsi="Arial"/>
                <w:sz w:val="11"/>
                <w:szCs w:val="11"/>
                <w:color w:val="auto"/>
              </w:rPr>
              <w:t>Commitments and Contingencies (Note 11)</w:t>
            </w:r>
          </w:p>
        </w:tc>
        <w:tc>
          <w:tcPr>
            <w:tcW w:w="13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i w:val="1"/>
                <w:iCs w:val="1"/>
                <w:color w:val="auto"/>
              </w:rPr>
              <w:t>Stockholders’ equity:</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900" w:type="dxa"/>
            <w:vAlign w:val="bottom"/>
            <w:gridSpan w:val="4"/>
          </w:tcPr>
          <w:p>
            <w:pPr>
              <w:ind w:left="180"/>
              <w:spacing w:after="0" w:line="121" w:lineRule="exact"/>
              <w:rPr>
                <w:sz w:val="20"/>
                <w:szCs w:val="20"/>
                <w:color w:val="auto"/>
              </w:rPr>
            </w:pPr>
            <w:r>
              <w:rPr>
                <w:rFonts w:ascii="Arial" w:cs="Arial" w:eastAsia="Arial" w:hAnsi="Arial"/>
                <w:sz w:val="11"/>
                <w:szCs w:val="11"/>
                <w:color w:val="auto"/>
              </w:rPr>
              <w:t>Class A common stock – $0.0001 par value; 1,100,000 shares authorized; 131,965 and 115,487 shares issued; 131,776 and 115,487 shares</w:t>
            </w:r>
          </w:p>
        </w:tc>
        <w:tc>
          <w:tcPr>
            <w:tcW w:w="280" w:type="dxa"/>
            <w:vAlign w:val="bottom"/>
          </w:tcPr>
          <w:p>
            <w:pPr>
              <w:spacing w:after="0"/>
              <w:rPr>
                <w:sz w:val="10"/>
                <w:szCs w:val="10"/>
                <w:color w:val="auto"/>
              </w:rPr>
            </w:pPr>
          </w:p>
        </w:tc>
        <w:tc>
          <w:tcPr>
            <w:tcW w:w="1380" w:type="dxa"/>
            <w:vAlign w:val="bottom"/>
            <w:vMerge w:val="restart"/>
          </w:tcPr>
          <w:p>
            <w:pPr>
              <w:jc w:val="right"/>
              <w:ind w:right="3"/>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4"/>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outstanding at June 30, 2022 and December 31, 2021, respectively.</w:t>
            </w: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7900" w:type="dxa"/>
            <w:vAlign w:val="bottom"/>
            <w:gridSpan w:val="4"/>
            <w:shd w:val="clear" w:color="auto" w:fill="CCEEFF"/>
          </w:tcPr>
          <w:p>
            <w:pPr>
              <w:ind w:left="180"/>
              <w:spacing w:after="0" w:line="121" w:lineRule="exact"/>
              <w:rPr>
                <w:sz w:val="20"/>
                <w:szCs w:val="20"/>
                <w:color w:val="auto"/>
              </w:rPr>
            </w:pPr>
            <w:r>
              <w:rPr>
                <w:rFonts w:ascii="Arial" w:cs="Arial" w:eastAsia="Arial" w:hAnsi="Arial"/>
                <w:sz w:val="11"/>
                <w:szCs w:val="11"/>
                <w:color w:val="auto"/>
              </w:rPr>
              <w:t>Class B common stock – $0.0001 par value; 579,555 and 587,360 shares authorized; 197,547 and 205,352 shares issued and outstanding at June 30,</w:t>
            </w:r>
          </w:p>
        </w:tc>
        <w:tc>
          <w:tcPr>
            <w:tcW w:w="280" w:type="dxa"/>
            <w:vAlign w:val="bottom"/>
            <w:shd w:val="clear" w:color="auto" w:fill="CCEEFF"/>
          </w:tcPr>
          <w:p>
            <w:pPr>
              <w:spacing w:after="0"/>
              <w:rPr>
                <w:sz w:val="10"/>
                <w:szCs w:val="10"/>
                <w:color w:val="auto"/>
              </w:rPr>
            </w:pPr>
          </w:p>
        </w:tc>
        <w:tc>
          <w:tcPr>
            <w:tcW w:w="13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44"/>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2022 and December 31, 2021, respectively.</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900" w:type="dxa"/>
            <w:vAlign w:val="bottom"/>
            <w:gridSpan w:val="4"/>
          </w:tcPr>
          <w:p>
            <w:pPr>
              <w:ind w:left="180"/>
              <w:spacing w:after="0"/>
              <w:rPr>
                <w:sz w:val="20"/>
                <w:szCs w:val="20"/>
                <w:color w:val="auto"/>
              </w:rPr>
            </w:pPr>
            <w:r>
              <w:rPr>
                <w:rFonts w:ascii="Arial" w:cs="Arial" w:eastAsia="Arial" w:hAnsi="Arial"/>
                <w:sz w:val="11"/>
                <w:szCs w:val="11"/>
                <w:color w:val="auto"/>
              </w:rPr>
              <w:t>Preferred stock – $0.0001 par value; 20,000 shares authorized; no shares issued and outstanding at June 30, 2022 and December 31, 2021.</w:t>
            </w:r>
          </w:p>
        </w:tc>
        <w:tc>
          <w:tcPr>
            <w:tcW w:w="28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Treasury stock – at cost; 189 shares of Class A common stock at June 30, 2022</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Additional paid-in capital</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612,627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561,447</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Accumulated other comprehensive income (loss)</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56"/>
        </w:trPr>
        <w:tc>
          <w:tcPr>
            <w:tcW w:w="5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Accumulated deficit</w:t>
            </w:r>
          </w:p>
        </w:tc>
        <w:tc>
          <w:tcPr>
            <w:tcW w:w="138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(265,619)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(208,317)</w:t>
            </w:r>
          </w:p>
        </w:tc>
        <w:tc>
          <w:tcPr>
            <w:tcW w:w="0" w:type="dxa"/>
            <w:vAlign w:val="bottom"/>
          </w:tcPr>
          <w:p>
            <w:pPr>
              <w:spacing w:after="0"/>
              <w:rPr>
                <w:sz w:val="1"/>
                <w:szCs w:val="1"/>
                <w:color w:val="auto"/>
              </w:rPr>
            </w:pPr>
          </w:p>
        </w:tc>
      </w:tr>
      <w:tr>
        <w:trPr>
          <w:trHeight w:val="15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stockholders’ equity attributable to GoHealth, Inc.</w:t>
            </w:r>
          </w:p>
        </w:tc>
        <w:tc>
          <w:tcPr>
            <w:tcW w:w="1380" w:type="dxa"/>
            <w:vAlign w:val="bottom"/>
            <w:shd w:val="clear" w:color="auto" w:fill="CCEEFF"/>
          </w:tcPr>
          <w:p>
            <w:pPr>
              <w:spacing w:after="0"/>
              <w:rPr>
                <w:sz w:val="13"/>
                <w:szCs w:val="13"/>
                <w:color w:val="auto"/>
              </w:rPr>
            </w:pPr>
          </w:p>
        </w:tc>
        <w:tc>
          <w:tcPr>
            <w:tcW w:w="1460" w:type="dxa"/>
            <w:vAlign w:val="bottom"/>
            <w:tcBorders>
              <w:left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346,463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353,103</w:t>
            </w:r>
          </w:p>
        </w:tc>
        <w:tc>
          <w:tcPr>
            <w:tcW w:w="0" w:type="dxa"/>
            <w:vAlign w:val="bottom"/>
          </w:tcPr>
          <w:p>
            <w:pPr>
              <w:spacing w:after="0"/>
              <w:rPr>
                <w:sz w:val="1"/>
                <w:szCs w:val="1"/>
                <w:color w:val="auto"/>
              </w:rPr>
            </w:pPr>
          </w:p>
        </w:tc>
      </w:tr>
      <w:tr>
        <w:trPr>
          <w:trHeight w:val="147"/>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Non-controlling interests</w:t>
            </w:r>
          </w:p>
        </w:tc>
        <w:tc>
          <w:tcPr>
            <w:tcW w:w="13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411,858</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539,387</w:t>
            </w:r>
          </w:p>
        </w:tc>
        <w:tc>
          <w:tcPr>
            <w:tcW w:w="0" w:type="dxa"/>
            <w:vAlign w:val="bottom"/>
          </w:tcPr>
          <w:p>
            <w:pPr>
              <w:spacing w:after="0"/>
              <w:rPr>
                <w:sz w:val="1"/>
                <w:szCs w:val="1"/>
                <w:color w:val="auto"/>
              </w:rPr>
            </w:pPr>
          </w:p>
        </w:tc>
      </w:tr>
      <w:tr>
        <w:trPr>
          <w:trHeight w:val="1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stockholders’ equity</w:t>
            </w:r>
          </w:p>
        </w:tc>
        <w:tc>
          <w:tcPr>
            <w:tcW w:w="1380" w:type="dxa"/>
            <w:vAlign w:val="bottom"/>
            <w:shd w:val="clear" w:color="auto" w:fill="CCEEFF"/>
          </w:tcPr>
          <w:p>
            <w:pPr>
              <w:spacing w:after="0"/>
              <w:rPr>
                <w:sz w:val="13"/>
                <w:szCs w:val="13"/>
                <w:color w:val="auto"/>
              </w:rPr>
            </w:pPr>
          </w:p>
        </w:tc>
        <w:tc>
          <w:tcPr>
            <w:tcW w:w="1460" w:type="dxa"/>
            <w:vAlign w:val="bottom"/>
            <w:tcBorders>
              <w:left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758,321</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892,490</w:t>
            </w:r>
          </w:p>
        </w:tc>
        <w:tc>
          <w:tcPr>
            <w:tcW w:w="0" w:type="dxa"/>
            <w:vAlign w:val="bottom"/>
          </w:tcPr>
          <w:p>
            <w:pPr>
              <w:spacing w:after="0"/>
              <w:rPr>
                <w:sz w:val="1"/>
                <w:szCs w:val="1"/>
                <w:color w:val="auto"/>
              </w:rPr>
            </w:pPr>
          </w:p>
        </w:tc>
      </w:tr>
      <w:tr>
        <w:trPr>
          <w:trHeight w:val="153"/>
        </w:trPr>
        <w:tc>
          <w:tcPr>
            <w:tcW w:w="50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liabilities and stockholders’ equity</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1,898,057</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2,068,851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9640" w:type="dxa"/>
            <w:vAlign w:val="bottom"/>
            <w:gridSpan w:val="7"/>
          </w:tcPr>
          <w:p>
            <w:pPr>
              <w:jc w:val="center"/>
              <w:ind w:left="1583"/>
              <w:spacing w:after="0"/>
              <w:rPr>
                <w:sz w:val="20"/>
                <w:szCs w:val="20"/>
                <w:color w:val="auto"/>
              </w:rPr>
            </w:pPr>
            <w:r>
              <w:rPr>
                <w:rFonts w:ascii="Arial" w:cs="Arial" w:eastAsia="Arial" w:hAnsi="Arial"/>
                <w:sz w:val="13"/>
                <w:szCs w:val="13"/>
                <w:i w:val="1"/>
                <w:iCs w:val="1"/>
                <w:color w:val="auto"/>
                <w:w w:val="97"/>
              </w:rPr>
              <w:t>The accompanying Notes are an integral part of these Condensed Consolidated Financial Statements.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0" w:type="dxa"/>
            <w:vAlign w:val="bottom"/>
          </w:tcPr>
          <w:p>
            <w:pPr>
              <w:spacing w:after="0"/>
              <w:rPr>
                <w:sz w:val="24"/>
                <w:szCs w:val="24"/>
                <w:color w:val="auto"/>
              </w:rPr>
            </w:pPr>
          </w:p>
        </w:tc>
        <w:tc>
          <w:tcPr>
            <w:tcW w:w="1380" w:type="dxa"/>
            <w:vAlign w:val="bottom"/>
            <w:vMerge w:val="restart"/>
          </w:tcPr>
          <w:p>
            <w:pPr>
              <w:jc w:val="center"/>
              <w:ind w:right="163"/>
              <w:spacing w:after="0"/>
              <w:rPr>
                <w:sz w:val="20"/>
                <w:szCs w:val="20"/>
                <w:color w:val="auto"/>
              </w:rPr>
            </w:pPr>
            <w:r>
              <w:rPr>
                <w:rFonts w:ascii="Arial" w:cs="Arial" w:eastAsia="Arial" w:hAnsi="Arial"/>
                <w:sz w:val="11"/>
                <w:szCs w:val="11"/>
                <w:color w:val="auto"/>
              </w:rPr>
              <w:t>2022 Form 10-Q</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0" w:type="dxa"/>
            <w:vAlign w:val="bottom"/>
            <w:tcBorders>
              <w:left w:val="single" w:sz="8" w:color="auto"/>
            </w:tcBorders>
          </w:tcPr>
          <w:p>
            <w:pPr>
              <w:spacing w:after="0"/>
              <w:rPr>
                <w:sz w:val="13"/>
                <w:szCs w:val="13"/>
                <w:color w:val="auto"/>
              </w:rPr>
            </w:pPr>
          </w:p>
        </w:tc>
        <w:tc>
          <w:tcPr>
            <w:tcW w:w="1380" w:type="dxa"/>
            <w:vAlign w:val="bottom"/>
            <w:vMerge w:val="continue"/>
          </w:tcPr>
          <w:p>
            <w:pPr>
              <w:spacing w:after="0"/>
              <w:rPr>
                <w:sz w:val="13"/>
                <w:szCs w:val="13"/>
                <w:color w:val="auto"/>
              </w:rPr>
            </w:pPr>
          </w:p>
        </w:tc>
        <w:tc>
          <w:tcPr>
            <w:tcW w:w="1460" w:type="dxa"/>
            <w:vAlign w:val="bottom"/>
            <w:tcBorders>
              <w:left w:val="single" w:sz="8" w:color="auto"/>
            </w:tcBorders>
          </w:tcPr>
          <w:p>
            <w:pPr>
              <w:jc w:val="right"/>
              <w:ind w:right="1263"/>
              <w:spacing w:after="0"/>
              <w:rPr>
                <w:sz w:val="20"/>
                <w:szCs w:val="20"/>
                <w:color w:val="auto"/>
              </w:rPr>
            </w:pPr>
            <w:r>
              <w:rPr>
                <w:rFonts w:ascii="Arial" w:cs="Arial" w:eastAsia="Arial" w:hAnsi="Arial"/>
                <w:sz w:val="11"/>
                <w:szCs w:val="11"/>
                <w:color w:val="auto"/>
              </w:rPr>
              <w:t>6</w:t>
            </w: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CONDENSED CONSOLIDATED STATEMENTS OF CHANGES IN STOCKHOLDERS’ EQUITY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6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11"/>
          </w:tcPr>
          <w:p>
            <w:pPr>
              <w:ind w:left="440"/>
              <w:spacing w:after="0"/>
              <w:rPr>
                <w:sz w:val="20"/>
                <w:szCs w:val="20"/>
                <w:color w:val="auto"/>
              </w:rPr>
            </w:pPr>
            <w:r>
              <w:rPr>
                <w:rFonts w:ascii="Arial" w:cs="Arial" w:eastAsia="Arial" w:hAnsi="Arial"/>
                <w:sz w:val="8"/>
                <w:szCs w:val="8"/>
                <w:b w:val="1"/>
                <w:bCs w:val="1"/>
                <w:color w:val="auto"/>
              </w:rPr>
              <w:t>Three months ended Jun. 30, 2022</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tcPr>
          <w:p>
            <w:pPr>
              <w:spacing w:after="0"/>
              <w:rPr>
                <w:sz w:val="9"/>
                <w:szCs w:val="9"/>
                <w:color w:val="auto"/>
              </w:rPr>
            </w:pPr>
          </w:p>
        </w:tc>
        <w:tc>
          <w:tcPr>
            <w:tcW w:w="120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8"/>
                <w:szCs w:val="8"/>
                <w:b w:val="1"/>
                <w:bCs w:val="1"/>
                <w:color w:val="auto"/>
              </w:rPr>
              <w:t>Class A Common Stock</w:t>
            </w: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Borders>
              <w:bottom w:val="single" w:sz="8" w:color="auto"/>
            </w:tcBorders>
            <w:gridSpan w:val="7"/>
          </w:tcPr>
          <w:p>
            <w:pPr>
              <w:ind w:left="200"/>
              <w:spacing w:after="0"/>
              <w:rPr>
                <w:sz w:val="20"/>
                <w:szCs w:val="20"/>
                <w:color w:val="auto"/>
              </w:rPr>
            </w:pPr>
            <w:r>
              <w:rPr>
                <w:rFonts w:ascii="Arial" w:cs="Arial" w:eastAsia="Arial" w:hAnsi="Arial"/>
                <w:sz w:val="8"/>
                <w:szCs w:val="8"/>
                <w:b w:val="1"/>
                <w:bCs w:val="1"/>
                <w:color w:val="auto"/>
              </w:rPr>
              <w:t>Class B Common Stock</w:t>
            </w:r>
          </w:p>
        </w:tc>
        <w:tc>
          <w:tcPr>
            <w:tcW w:w="80" w:type="dxa"/>
            <w:vAlign w:val="bottom"/>
          </w:tcPr>
          <w:p>
            <w:pPr>
              <w:spacing w:after="0"/>
              <w:rPr>
                <w:sz w:val="9"/>
                <w:szCs w:val="9"/>
                <w:color w:val="auto"/>
              </w:rPr>
            </w:pPr>
          </w:p>
        </w:tc>
        <w:tc>
          <w:tcPr>
            <w:tcW w:w="1360" w:type="dxa"/>
            <w:vAlign w:val="bottom"/>
            <w:tcBorders>
              <w:bottom w:val="single" w:sz="8" w:color="auto"/>
            </w:tcBorders>
            <w:gridSpan w:val="4"/>
          </w:tcPr>
          <w:p>
            <w:pPr>
              <w:jc w:val="right"/>
              <w:ind w:right="338"/>
              <w:spacing w:after="0"/>
              <w:rPr>
                <w:sz w:val="20"/>
                <w:szCs w:val="20"/>
                <w:color w:val="auto"/>
              </w:rPr>
            </w:pPr>
            <w:r>
              <w:rPr>
                <w:rFonts w:ascii="Arial" w:cs="Arial" w:eastAsia="Arial" w:hAnsi="Arial"/>
                <w:sz w:val="8"/>
                <w:szCs w:val="8"/>
                <w:b w:val="1"/>
                <w:bCs w:val="1"/>
                <w:color w:val="auto"/>
              </w:rPr>
              <w:t>Treasury Stock</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620" w:type="dxa"/>
            <w:vAlign w:val="bottom"/>
            <w:vMerge w:val="restart"/>
          </w:tcPr>
          <w:p>
            <w:pPr>
              <w:jc w:val="right"/>
              <w:ind w:right="118"/>
              <w:spacing w:after="0"/>
              <w:rPr>
                <w:sz w:val="20"/>
                <w:szCs w:val="20"/>
                <w:color w:val="auto"/>
              </w:rPr>
            </w:pPr>
            <w:r>
              <w:rPr>
                <w:rFonts w:ascii="Arial" w:cs="Arial" w:eastAsia="Arial" w:hAnsi="Arial"/>
                <w:sz w:val="8"/>
                <w:szCs w:val="8"/>
                <w:b w:val="1"/>
                <w:bCs w:val="1"/>
                <w:color w:val="auto"/>
              </w:rPr>
              <w:t>Shares</w:t>
            </w:r>
          </w:p>
        </w:tc>
        <w:tc>
          <w:tcPr>
            <w:tcW w:w="100" w:type="dxa"/>
            <w:vAlign w:val="bottom"/>
            <w:vMerge w:val="restart"/>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Amount</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Amount</w:t>
            </w:r>
          </w:p>
        </w:tc>
        <w:tc>
          <w:tcPr>
            <w:tcW w:w="80" w:type="dxa"/>
            <w:vAlign w:val="bottom"/>
            <w:vMerge w:val="restart"/>
          </w:tcPr>
          <w:p>
            <w:pPr>
              <w:spacing w:after="0"/>
              <w:rPr>
                <w:sz w:val="6"/>
                <w:szCs w:val="6"/>
                <w:color w:val="auto"/>
              </w:rPr>
            </w:pPr>
          </w:p>
        </w:tc>
        <w:tc>
          <w:tcPr>
            <w:tcW w:w="620" w:type="dxa"/>
            <w:vAlign w:val="bottom"/>
            <w:vMerge w:val="restart"/>
          </w:tcPr>
          <w:p>
            <w:pPr>
              <w:jc w:val="right"/>
              <w:ind w:right="118"/>
              <w:spacing w:after="0"/>
              <w:rPr>
                <w:sz w:val="20"/>
                <w:szCs w:val="20"/>
                <w:color w:val="auto"/>
              </w:rPr>
            </w:pPr>
            <w:r>
              <w:rPr>
                <w:rFonts w:ascii="Arial" w:cs="Arial" w:eastAsia="Arial" w:hAnsi="Arial"/>
                <w:sz w:val="8"/>
                <w:szCs w:val="8"/>
                <w:b w:val="1"/>
                <w:bCs w:val="1"/>
                <w:color w:val="auto"/>
              </w:rPr>
              <w:t>Shares</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restart"/>
          </w:tcPr>
          <w:p>
            <w:pPr>
              <w:jc w:val="right"/>
              <w:ind w:right="118"/>
              <w:spacing w:after="0"/>
              <w:rPr>
                <w:sz w:val="20"/>
                <w:szCs w:val="20"/>
                <w:color w:val="auto"/>
              </w:rPr>
            </w:pPr>
            <w:r>
              <w:rPr>
                <w:rFonts w:ascii="Arial" w:cs="Arial" w:eastAsia="Arial" w:hAnsi="Arial"/>
                <w:sz w:val="8"/>
                <w:szCs w:val="8"/>
                <w:b w:val="1"/>
                <w:bCs w:val="1"/>
                <w:color w:val="auto"/>
              </w:rPr>
              <w:t>Amount</w:t>
            </w:r>
          </w:p>
        </w:tc>
        <w:tc>
          <w:tcPr>
            <w:tcW w:w="80" w:type="dxa"/>
            <w:vAlign w:val="bottom"/>
            <w:vMerge w:val="restart"/>
          </w:tcPr>
          <w:p>
            <w:pPr>
              <w:spacing w:after="0"/>
              <w:rPr>
                <w:sz w:val="6"/>
                <w:szCs w:val="6"/>
                <w:color w:val="auto"/>
              </w:rPr>
            </w:pPr>
          </w:p>
        </w:tc>
        <w:tc>
          <w:tcPr>
            <w:tcW w:w="900" w:type="dxa"/>
            <w:vAlign w:val="bottom"/>
            <w:gridSpan w:val="4"/>
          </w:tcPr>
          <w:p>
            <w:pPr>
              <w:jc w:val="center"/>
              <w:ind w:right="80"/>
              <w:spacing w:after="0" w:line="74" w:lineRule="exact"/>
              <w:rPr>
                <w:sz w:val="20"/>
                <w:szCs w:val="20"/>
                <w:color w:val="auto"/>
              </w:rPr>
            </w:pPr>
            <w:r>
              <w:rPr>
                <w:rFonts w:ascii="Arial" w:cs="Arial" w:eastAsia="Arial" w:hAnsi="Arial"/>
                <w:sz w:val="8"/>
                <w:szCs w:val="8"/>
                <w:b w:val="1"/>
                <w:bCs w:val="1"/>
                <w:color w:val="auto"/>
              </w:rPr>
              <w:t>Additional Paid-In</w:t>
            </w:r>
          </w:p>
        </w:tc>
        <w:tc>
          <w:tcPr>
            <w:tcW w:w="20" w:type="dxa"/>
            <w:vAlign w:val="bottom"/>
          </w:tcPr>
          <w:p>
            <w:pPr>
              <w:spacing w:after="0"/>
              <w:rPr>
                <w:sz w:val="6"/>
                <w:szCs w:val="6"/>
                <w:color w:val="auto"/>
              </w:rPr>
            </w:pPr>
          </w:p>
        </w:tc>
        <w:tc>
          <w:tcPr>
            <w:tcW w:w="940" w:type="dxa"/>
            <w:vAlign w:val="bottom"/>
            <w:gridSpan w:val="2"/>
            <w:vMerge w:val="restart"/>
          </w:tcPr>
          <w:p>
            <w:pPr>
              <w:jc w:val="right"/>
              <w:ind w:right="18"/>
              <w:spacing w:after="0"/>
              <w:rPr>
                <w:sz w:val="20"/>
                <w:szCs w:val="20"/>
                <w:color w:val="auto"/>
              </w:rPr>
            </w:pPr>
            <w:r>
              <w:rPr>
                <w:rFonts w:ascii="Arial" w:cs="Arial" w:eastAsia="Arial" w:hAnsi="Arial"/>
                <w:sz w:val="8"/>
                <w:szCs w:val="8"/>
                <w:b w:val="1"/>
                <w:bCs w:val="1"/>
                <w:color w:val="auto"/>
              </w:rPr>
              <w:t>Accumulated Deficit</w:t>
            </w:r>
          </w:p>
        </w:tc>
        <w:tc>
          <w:tcPr>
            <w:tcW w:w="80" w:type="dxa"/>
            <w:vAlign w:val="bottom"/>
            <w:gridSpan w:val="2"/>
            <w:vMerge w:val="restart"/>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3"/>
          </w:tcPr>
          <w:p>
            <w:pPr>
              <w:jc w:val="center"/>
              <w:ind w:right="160"/>
              <w:spacing w:after="0" w:line="74" w:lineRule="exact"/>
              <w:rPr>
                <w:sz w:val="20"/>
                <w:szCs w:val="20"/>
                <w:color w:val="auto"/>
              </w:rPr>
            </w:pPr>
            <w:r>
              <w:rPr>
                <w:rFonts w:ascii="Arial" w:cs="Arial" w:eastAsia="Arial" w:hAnsi="Arial"/>
                <w:sz w:val="8"/>
                <w:szCs w:val="8"/>
                <w:b w:val="1"/>
                <w:bCs w:val="1"/>
                <w:color w:val="auto"/>
              </w:rPr>
              <w:t>Accumulated Other</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Non-Controlling</w:t>
            </w:r>
          </w:p>
        </w:tc>
        <w:tc>
          <w:tcPr>
            <w:tcW w:w="40" w:type="dxa"/>
            <w:vAlign w:val="bottom"/>
          </w:tcPr>
          <w:p>
            <w:pPr>
              <w:spacing w:after="0"/>
              <w:rPr>
                <w:sz w:val="6"/>
                <w:szCs w:val="6"/>
                <w:color w:val="auto"/>
              </w:rPr>
            </w:pPr>
          </w:p>
        </w:tc>
        <w:tc>
          <w:tcPr>
            <w:tcW w:w="960" w:type="dxa"/>
            <w:vAlign w:val="bottom"/>
            <w:gridSpan w:val="2"/>
            <w:vMerge w:val="restart"/>
          </w:tcPr>
          <w:p>
            <w:pPr>
              <w:jc w:val="right"/>
              <w:ind w:right="38"/>
              <w:spacing w:after="0"/>
              <w:rPr>
                <w:sz w:val="20"/>
                <w:szCs w:val="20"/>
                <w:color w:val="auto"/>
              </w:rPr>
            </w:pPr>
            <w:r>
              <w:rPr>
                <w:rFonts w:ascii="Arial" w:cs="Arial" w:eastAsia="Arial" w:hAnsi="Arial"/>
                <w:sz w:val="8"/>
                <w:szCs w:val="8"/>
                <w:b w:val="1"/>
                <w:bCs w:val="1"/>
                <w:color w:val="auto"/>
              </w:rPr>
              <w:t>Stockholders’ Equity</w:t>
            </w: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6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118"/>
              <w:spacing w:after="0"/>
              <w:rPr>
                <w:sz w:val="20"/>
                <w:szCs w:val="20"/>
                <w:color w:val="auto"/>
              </w:rPr>
            </w:pPr>
            <w:r>
              <w:rPr>
                <w:rFonts w:ascii="Arial" w:cs="Arial" w:eastAsia="Arial" w:hAnsi="Arial"/>
                <w:sz w:val="8"/>
                <w:szCs w:val="8"/>
                <w:b w:val="1"/>
                <w:bCs w:val="1"/>
                <w:color w:val="auto"/>
              </w:rPr>
              <w:t>Capital</w:t>
            </w:r>
          </w:p>
        </w:tc>
        <w:tc>
          <w:tcPr>
            <w:tcW w:w="80" w:type="dxa"/>
            <w:vAlign w:val="bottom"/>
            <w:tcBorders>
              <w:bottom w:val="single" w:sz="8" w:color="CCEEFF"/>
            </w:tcBorders>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rPr>
              <w:t>Comprehensive Income (Loss)</w:t>
            </w:r>
          </w:p>
        </w:tc>
        <w:tc>
          <w:tcPr>
            <w:tcW w:w="80" w:type="dxa"/>
            <w:vAlign w:val="bottom"/>
            <w:tcBorders>
              <w:bottom w:val="single" w:sz="8" w:color="CCEEFF"/>
            </w:tcBorders>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b w:val="1"/>
                <w:bCs w:val="1"/>
                <w:color w:val="auto"/>
              </w:rPr>
              <w:t>Interest</w:t>
            </w:r>
          </w:p>
        </w:tc>
        <w:tc>
          <w:tcPr>
            <w:tcW w:w="80" w:type="dxa"/>
            <w:vAlign w:val="bottom"/>
            <w:tcBorders>
              <w:bottom w:val="single" w:sz="8" w:color="CCEEFF"/>
            </w:tcBorders>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b w:val="1"/>
                <w:bCs w:val="1"/>
                <w:color w:val="auto"/>
              </w:rPr>
              <w:t>Balance at Apr. 1, 2022</w:t>
            </w: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121,944</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89"/>
              </w:rPr>
              <w:t>12</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199,338</w:t>
            </w:r>
          </w:p>
        </w:tc>
        <w:tc>
          <w:tcPr>
            <w:tcW w:w="20" w:type="dxa"/>
            <w:vAlign w:val="bottom"/>
            <w:shd w:val="clear" w:color="auto" w:fill="CCEEFF"/>
          </w:tcPr>
          <w:p>
            <w:pPr>
              <w:spacing w:after="0"/>
              <w:rPr>
                <w:sz w:val="10"/>
                <w:szCs w:val="10"/>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20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(169)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(329)</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583,323</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(221,800)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(101)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w w:val="8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498,833</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859,958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660" w:type="dxa"/>
            <w:vAlign w:val="bottom"/>
          </w:tcPr>
          <w:p>
            <w:pPr>
              <w:ind w:left="20"/>
              <w:spacing w:after="0"/>
              <w:rPr>
                <w:sz w:val="20"/>
                <w:szCs w:val="20"/>
                <w:color w:val="auto"/>
              </w:rPr>
            </w:pPr>
            <w:r>
              <w:rPr>
                <w:rFonts w:ascii="Arial" w:cs="Arial" w:eastAsia="Arial" w:hAnsi="Arial"/>
                <w:sz w:val="8"/>
                <w:szCs w:val="8"/>
                <w:color w:val="auto"/>
              </w:rPr>
              <w:t>Net loss</w:t>
            </w: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(43,819)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(69,933)</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(113,752)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Issuance of Class A common shares</w:t>
            </w: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60" w:type="dxa"/>
            <w:vAlign w:val="bottom"/>
            <w:shd w:val="clear" w:color="auto" w:fill="CCEEFF"/>
          </w:tcPr>
          <w:p>
            <w:pPr>
              <w:ind w:left="20"/>
              <w:spacing w:after="0" w:line="85" w:lineRule="exact"/>
              <w:rPr>
                <w:sz w:val="20"/>
                <w:szCs w:val="20"/>
                <w:color w:val="auto"/>
              </w:rPr>
            </w:pPr>
            <w:r>
              <w:rPr>
                <w:rFonts w:ascii="Arial" w:cs="Arial" w:eastAsia="Arial" w:hAnsi="Arial"/>
                <w:sz w:val="8"/>
                <w:szCs w:val="8"/>
                <w:color w:val="auto"/>
              </w:rPr>
              <w:t>related to share-based compensation</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8,427</w:t>
            </w: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w:t>
            </w: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336</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337</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plans</w:t>
            </w:r>
          </w:p>
        </w:tc>
        <w:tc>
          <w:tcPr>
            <w:tcW w:w="6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660" w:type="dxa"/>
            <w:vAlign w:val="bottom"/>
          </w:tcPr>
          <w:p>
            <w:pPr>
              <w:ind w:left="20"/>
              <w:spacing w:after="0"/>
              <w:rPr>
                <w:sz w:val="20"/>
                <w:szCs w:val="20"/>
                <w:color w:val="auto"/>
              </w:rPr>
            </w:pPr>
            <w:r>
              <w:rPr>
                <w:rFonts w:ascii="Arial" w:cs="Arial" w:eastAsia="Arial" w:hAnsi="Arial"/>
                <w:sz w:val="8"/>
                <w:szCs w:val="8"/>
                <w:color w:val="auto"/>
              </w:rPr>
              <w:t>Share-based compensation expense</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12,138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12,138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Foreign currency translation adjustment</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8"/>
                <w:szCs w:val="8"/>
                <w:color w:val="auto"/>
              </w:rPr>
              <w:t>(133)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(212)</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(345)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660" w:type="dxa"/>
            <w:vAlign w:val="bottom"/>
          </w:tcPr>
          <w:p>
            <w:pPr>
              <w:ind w:left="20"/>
              <w:spacing w:after="0" w:line="85" w:lineRule="exact"/>
              <w:rPr>
                <w:sz w:val="20"/>
                <w:szCs w:val="20"/>
                <w:color w:val="auto"/>
              </w:rPr>
            </w:pPr>
            <w:r>
              <w:rPr>
                <w:rFonts w:ascii="Arial" w:cs="Arial" w:eastAsia="Arial" w:hAnsi="Arial"/>
                <w:sz w:val="8"/>
                <w:szCs w:val="8"/>
                <w:color w:val="auto"/>
              </w:rPr>
              <w:t>Class A common shares repurchased for</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(20)</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8"/>
                <w:szCs w:val="8"/>
                <w:color w:val="auto"/>
              </w:rPr>
              <w:t>(15)</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8"/>
                <w:szCs w:val="8"/>
                <w:color w:val="auto"/>
              </w:rPr>
              <w:t>(15)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660" w:type="dxa"/>
            <w:vAlign w:val="bottom"/>
          </w:tcPr>
          <w:p>
            <w:pPr>
              <w:ind w:left="20"/>
              <w:spacing w:after="0"/>
              <w:rPr>
                <w:sz w:val="20"/>
                <w:szCs w:val="20"/>
                <w:color w:val="auto"/>
              </w:rPr>
            </w:pPr>
            <w:r>
              <w:rPr>
                <w:rFonts w:ascii="Arial" w:cs="Arial" w:eastAsia="Arial" w:hAnsi="Arial"/>
                <w:sz w:val="8"/>
                <w:szCs w:val="8"/>
                <w:color w:val="auto"/>
              </w:rPr>
              <w:t>employee tax withholdings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Forfeitures of Time-Vesting Units</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(197)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Redemption of LLC Interests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1,594</w:t>
            </w:r>
          </w:p>
        </w:tc>
        <w:tc>
          <w:tcPr>
            <w:tcW w:w="1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8"/>
                <w:szCs w:val="8"/>
                <w:color w:val="auto"/>
                <w:w w:val="99"/>
              </w:rPr>
              <w:t>—</w:t>
            </w:r>
          </w:p>
        </w:tc>
        <w:tc>
          <w:tcPr>
            <w:tcW w:w="80" w:type="dxa"/>
            <w:vAlign w:val="bottom"/>
            <w:tcBorders>
              <w:bottom w:val="single" w:sz="8" w:color="CCEEFF"/>
            </w:tcBorders>
            <w:gridSpan w:val="2"/>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(1,594)</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16,830</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(16,830)</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Balance at Jun. 30, 2022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131,965</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9"/>
              </w:rPr>
              <w:t>13</w:t>
            </w: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197,547</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20</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(189)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(344)</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612,627</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(265,619)</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(234)</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411,858</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758,321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8"/>
          </w:tcPr>
          <w:p>
            <w:pPr>
              <w:ind w:left="340"/>
              <w:spacing w:after="0"/>
              <w:rPr>
                <w:sz w:val="20"/>
                <w:szCs w:val="20"/>
                <w:color w:val="auto"/>
              </w:rPr>
            </w:pPr>
            <w:r>
              <w:rPr>
                <w:rFonts w:ascii="Arial" w:cs="Arial" w:eastAsia="Arial" w:hAnsi="Arial"/>
                <w:sz w:val="8"/>
                <w:szCs w:val="8"/>
                <w:b w:val="1"/>
                <w:bCs w:val="1"/>
                <w:color w:val="auto"/>
              </w:rPr>
              <w:t>Three months ended Jun. 30, 2021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6"/>
          </w:tcPr>
          <w:p>
            <w:pPr>
              <w:ind w:left="180"/>
              <w:spacing w:after="0"/>
              <w:rPr>
                <w:sz w:val="20"/>
                <w:szCs w:val="20"/>
                <w:color w:val="auto"/>
              </w:rPr>
            </w:pPr>
            <w:r>
              <w:rPr>
                <w:rFonts w:ascii="Arial" w:cs="Arial" w:eastAsia="Arial" w:hAnsi="Arial"/>
                <w:sz w:val="8"/>
                <w:szCs w:val="8"/>
                <w:b w:val="1"/>
                <w:bCs w:val="1"/>
                <w:color w:val="auto"/>
              </w:rPr>
              <w:t>Class A Common Stock</w:t>
            </w:r>
          </w:p>
        </w:tc>
        <w:tc>
          <w:tcPr>
            <w:tcW w:w="100" w:type="dxa"/>
            <w:vAlign w:val="bottom"/>
            <w:gridSpan w:val="2"/>
          </w:tcPr>
          <w:p>
            <w:pPr>
              <w:spacing w:after="0"/>
              <w:rPr>
                <w:sz w:val="9"/>
                <w:szCs w:val="9"/>
                <w:color w:val="auto"/>
              </w:rPr>
            </w:pPr>
          </w:p>
        </w:tc>
        <w:tc>
          <w:tcPr>
            <w:tcW w:w="1360" w:type="dxa"/>
            <w:vAlign w:val="bottom"/>
            <w:tcBorders>
              <w:bottom w:val="single" w:sz="8" w:color="auto"/>
            </w:tcBorders>
            <w:gridSpan w:val="4"/>
          </w:tcPr>
          <w:p>
            <w:pPr>
              <w:jc w:val="right"/>
              <w:ind w:right="158"/>
              <w:spacing w:after="0"/>
              <w:rPr>
                <w:sz w:val="20"/>
                <w:szCs w:val="20"/>
                <w:color w:val="auto"/>
              </w:rPr>
            </w:pPr>
            <w:r>
              <w:rPr>
                <w:rFonts w:ascii="Arial" w:cs="Arial" w:eastAsia="Arial" w:hAnsi="Arial"/>
                <w:sz w:val="8"/>
                <w:szCs w:val="8"/>
                <w:b w:val="1"/>
                <w:bCs w:val="1"/>
                <w:color w:val="auto"/>
              </w:rPr>
              <w:t>Class B Common Stock</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restart"/>
          </w:tcPr>
          <w:p>
            <w:pPr>
              <w:jc w:val="right"/>
              <w:ind w:right="138"/>
              <w:spacing w:after="0"/>
              <w:rPr>
                <w:sz w:val="20"/>
                <w:szCs w:val="20"/>
                <w:color w:val="auto"/>
              </w:rPr>
            </w:pPr>
            <w:r>
              <w:rPr>
                <w:rFonts w:ascii="Arial" w:cs="Arial" w:eastAsia="Arial" w:hAnsi="Arial"/>
                <w:sz w:val="8"/>
                <w:szCs w:val="8"/>
                <w:b w:val="1"/>
                <w:bCs w:val="1"/>
                <w:color w:val="auto"/>
              </w:rPr>
              <w:t>Shares</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jc w:val="right"/>
              <w:ind w:right="98"/>
              <w:spacing w:after="0"/>
              <w:rPr>
                <w:sz w:val="20"/>
                <w:szCs w:val="20"/>
                <w:color w:val="auto"/>
              </w:rPr>
            </w:pPr>
            <w:r>
              <w:rPr>
                <w:rFonts w:ascii="Arial" w:cs="Arial" w:eastAsia="Arial" w:hAnsi="Arial"/>
                <w:sz w:val="8"/>
                <w:szCs w:val="8"/>
                <w:b w:val="1"/>
                <w:bCs w:val="1"/>
                <w:color w:val="auto"/>
              </w:rPr>
              <w:t>Amount</w:t>
            </w:r>
          </w:p>
        </w:tc>
        <w:tc>
          <w:tcPr>
            <w:tcW w:w="100" w:type="dxa"/>
            <w:vAlign w:val="bottom"/>
            <w:gridSpan w:val="2"/>
            <w:vMerge w:val="restart"/>
          </w:tcPr>
          <w:p>
            <w:pPr>
              <w:spacing w:after="0"/>
              <w:rPr>
                <w:sz w:val="6"/>
                <w:szCs w:val="6"/>
                <w:color w:val="auto"/>
              </w:rPr>
            </w:pPr>
          </w:p>
        </w:tc>
        <w:tc>
          <w:tcPr>
            <w:tcW w:w="620" w:type="dxa"/>
            <w:vAlign w:val="bottom"/>
            <w:vMerge w:val="restart"/>
          </w:tcPr>
          <w:p>
            <w:pPr>
              <w:jc w:val="right"/>
              <w:ind w:right="118"/>
              <w:spacing w:after="0"/>
              <w:rPr>
                <w:sz w:val="20"/>
                <w:szCs w:val="20"/>
                <w:color w:val="auto"/>
              </w:rPr>
            </w:pPr>
            <w:r>
              <w:rPr>
                <w:rFonts w:ascii="Arial" w:cs="Arial" w:eastAsia="Arial" w:hAnsi="Arial"/>
                <w:sz w:val="8"/>
                <w:szCs w:val="8"/>
                <w:b w:val="1"/>
                <w:bCs w:val="1"/>
                <w:color w:val="auto"/>
              </w:rPr>
              <w:t>Shares</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restart"/>
          </w:tcPr>
          <w:p>
            <w:pPr>
              <w:jc w:val="right"/>
              <w:ind w:right="118"/>
              <w:spacing w:after="0"/>
              <w:rPr>
                <w:sz w:val="20"/>
                <w:szCs w:val="20"/>
                <w:color w:val="auto"/>
              </w:rPr>
            </w:pPr>
            <w:r>
              <w:rPr>
                <w:rFonts w:ascii="Arial" w:cs="Arial" w:eastAsia="Arial" w:hAnsi="Arial"/>
                <w:sz w:val="8"/>
                <w:szCs w:val="8"/>
                <w:b w:val="1"/>
                <w:bCs w:val="1"/>
                <w:color w:val="auto"/>
              </w:rPr>
              <w:t>Amount</w:t>
            </w:r>
          </w:p>
        </w:tc>
        <w:tc>
          <w:tcPr>
            <w:tcW w:w="80" w:type="dxa"/>
            <w:vAlign w:val="bottom"/>
            <w:vMerge w:val="restart"/>
          </w:tcPr>
          <w:p>
            <w:pPr>
              <w:spacing w:after="0"/>
              <w:rPr>
                <w:sz w:val="6"/>
                <w:szCs w:val="6"/>
                <w:color w:val="auto"/>
              </w:rPr>
            </w:pPr>
          </w:p>
        </w:tc>
        <w:tc>
          <w:tcPr>
            <w:tcW w:w="900" w:type="dxa"/>
            <w:vAlign w:val="bottom"/>
            <w:gridSpan w:val="4"/>
          </w:tcPr>
          <w:p>
            <w:pPr>
              <w:jc w:val="center"/>
              <w:ind w:right="60"/>
              <w:spacing w:after="0" w:line="74" w:lineRule="exact"/>
              <w:rPr>
                <w:sz w:val="20"/>
                <w:szCs w:val="20"/>
                <w:color w:val="auto"/>
              </w:rPr>
            </w:pPr>
            <w:r>
              <w:rPr>
                <w:rFonts w:ascii="Arial" w:cs="Arial" w:eastAsia="Arial" w:hAnsi="Arial"/>
                <w:sz w:val="8"/>
                <w:szCs w:val="8"/>
                <w:b w:val="1"/>
                <w:bCs w:val="1"/>
                <w:color w:val="auto"/>
              </w:rPr>
              <w:t>Additional Paid-In</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8"/>
                <w:szCs w:val="8"/>
                <w:b w:val="1"/>
                <w:bCs w:val="1"/>
                <w:color w:val="auto"/>
              </w:rPr>
              <w:t>Accumulated Deficit</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3"/>
          </w:tcPr>
          <w:p>
            <w:pPr>
              <w:ind w:left="220"/>
              <w:spacing w:after="0" w:line="74" w:lineRule="exact"/>
              <w:rPr>
                <w:sz w:val="20"/>
                <w:szCs w:val="20"/>
                <w:color w:val="auto"/>
              </w:rPr>
            </w:pPr>
            <w:r>
              <w:rPr>
                <w:rFonts w:ascii="Arial" w:cs="Arial" w:eastAsia="Arial" w:hAnsi="Arial"/>
                <w:sz w:val="8"/>
                <w:szCs w:val="8"/>
                <w:b w:val="1"/>
                <w:bCs w:val="1"/>
                <w:color w:val="auto"/>
              </w:rPr>
              <w:t>Accumulated Other</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3"/>
          </w:tcPr>
          <w:p>
            <w:pPr>
              <w:ind w:left="20"/>
              <w:spacing w:after="0" w:line="74" w:lineRule="exact"/>
              <w:rPr>
                <w:sz w:val="20"/>
                <w:szCs w:val="20"/>
                <w:color w:val="auto"/>
              </w:rPr>
            </w:pPr>
            <w:r>
              <w:rPr>
                <w:rFonts w:ascii="Arial" w:cs="Arial" w:eastAsia="Arial" w:hAnsi="Arial"/>
                <w:sz w:val="8"/>
                <w:szCs w:val="8"/>
                <w:b w:val="1"/>
                <w:bCs w:val="1"/>
                <w:color w:val="auto"/>
              </w:rPr>
              <w:t>Non-Controlling</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8"/>
                <w:szCs w:val="8"/>
                <w:b w:val="1"/>
                <w:bCs w:val="1"/>
                <w:color w:val="auto"/>
              </w:rPr>
              <w:t>Stockholders’ Equity</w:t>
            </w:r>
          </w:p>
        </w:tc>
        <w:tc>
          <w:tcPr>
            <w:tcW w:w="0" w:type="dxa"/>
            <w:vAlign w:val="bottom"/>
          </w:tcPr>
          <w:p>
            <w:pPr>
              <w:spacing w:after="0"/>
              <w:rPr>
                <w:sz w:val="1"/>
                <w:szCs w:val="1"/>
                <w:color w:val="auto"/>
              </w:rPr>
            </w:pPr>
          </w:p>
        </w:tc>
      </w:tr>
      <w:tr>
        <w:trPr>
          <w:trHeight w:val="121"/>
        </w:trPr>
        <w:tc>
          <w:tcPr>
            <w:tcW w:w="166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8"/>
                <w:szCs w:val="8"/>
                <w:b w:val="1"/>
                <w:bCs w:val="1"/>
                <w:color w:val="auto"/>
              </w:rPr>
              <w:t>Capital</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8"/>
                <w:szCs w:val="8"/>
                <w:b w:val="1"/>
                <w:bCs w:val="1"/>
                <w:color w:val="auto"/>
              </w:rPr>
              <w:t>Comprehensive Income (Loss)</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8"/>
                <w:szCs w:val="8"/>
                <w:b w:val="1"/>
                <w:bCs w:val="1"/>
                <w:color w:val="auto"/>
              </w:rPr>
              <w:t>Interest</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b w:val="1"/>
                <w:bCs w:val="1"/>
                <w:color w:val="auto"/>
              </w:rPr>
              <w:t>Balance at Apr. 1, 2021</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98,518</w:t>
            </w:r>
          </w:p>
        </w:tc>
        <w:tc>
          <w:tcPr>
            <w:tcW w:w="20" w:type="dxa"/>
            <w:vAlign w:val="bottom"/>
            <w:shd w:val="clear" w:color="auto" w:fill="CCEEFF"/>
          </w:tcPr>
          <w:p>
            <w:pPr>
              <w:spacing w:after="0"/>
              <w:rPr>
                <w:sz w:val="10"/>
                <w:szCs w:val="10"/>
                <w:color w:val="auto"/>
              </w:rPr>
            </w:pPr>
          </w:p>
        </w:tc>
        <w:tc>
          <w:tcPr>
            <w:tcW w:w="200" w:type="dxa"/>
            <w:vAlign w:val="bottom"/>
            <w:gridSpan w:val="3"/>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222,606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22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465,936</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(21,047)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951,472</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1,396,412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660" w:type="dxa"/>
            <w:vAlign w:val="bottom"/>
          </w:tcPr>
          <w:p>
            <w:pPr>
              <w:ind w:left="20"/>
              <w:spacing w:after="0"/>
              <w:rPr>
                <w:sz w:val="20"/>
                <w:szCs w:val="20"/>
                <w:color w:val="auto"/>
              </w:rPr>
            </w:pPr>
            <w:r>
              <w:rPr>
                <w:rFonts w:ascii="Arial" w:cs="Arial" w:eastAsia="Arial" w:hAnsi="Arial"/>
                <w:sz w:val="8"/>
                <w:szCs w:val="8"/>
                <w:color w:val="auto"/>
              </w:rPr>
              <w:t>Net loss</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(12,004)</w:t>
            </w: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8"/>
                <w:szCs w:val="8"/>
                <w:color w:val="auto"/>
              </w:rPr>
              <w:t>(27,217)</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8"/>
                <w:szCs w:val="8"/>
                <w:color w:val="auto"/>
              </w:rPr>
              <w:t>(39,221)</w:t>
            </w:r>
          </w:p>
        </w:tc>
        <w:tc>
          <w:tcPr>
            <w:tcW w:w="0" w:type="dxa"/>
            <w:vAlign w:val="bottom"/>
          </w:tcPr>
          <w:p>
            <w:pPr>
              <w:spacing w:after="0"/>
              <w:rPr>
                <w:sz w:val="1"/>
                <w:szCs w:val="1"/>
                <w:color w:val="auto"/>
              </w:rPr>
            </w:pPr>
          </w:p>
        </w:tc>
      </w:tr>
      <w:tr>
        <w:trPr>
          <w:trHeight w:val="93"/>
        </w:trPr>
        <w:tc>
          <w:tcPr>
            <w:tcW w:w="2860" w:type="dxa"/>
            <w:vAlign w:val="bottom"/>
            <w:gridSpan w:val="4"/>
            <w:shd w:val="clear" w:color="auto" w:fill="CCEEFF"/>
          </w:tcPr>
          <w:p>
            <w:pPr>
              <w:ind w:left="20"/>
              <w:spacing w:after="0"/>
              <w:rPr>
                <w:sz w:val="20"/>
                <w:szCs w:val="20"/>
                <w:color w:val="auto"/>
              </w:rPr>
            </w:pPr>
            <w:r>
              <w:rPr>
                <w:rFonts w:ascii="Arial" w:cs="Arial" w:eastAsia="Arial" w:hAnsi="Arial"/>
                <w:sz w:val="8"/>
                <w:szCs w:val="8"/>
                <w:color w:val="auto"/>
              </w:rPr>
              <w:t>Issuance of Class A common shares related to share-based compensation</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62</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476</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476</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plans</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3"/>
            <w:vMerge w:val="continue"/>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660" w:type="dxa"/>
            <w:vAlign w:val="bottom"/>
          </w:tcPr>
          <w:p>
            <w:pPr>
              <w:ind w:left="20"/>
              <w:spacing w:after="0"/>
              <w:rPr>
                <w:sz w:val="20"/>
                <w:szCs w:val="20"/>
                <w:color w:val="auto"/>
              </w:rPr>
            </w:pPr>
            <w:r>
              <w:rPr>
                <w:rFonts w:ascii="Arial" w:cs="Arial" w:eastAsia="Arial" w:hAnsi="Arial"/>
                <w:sz w:val="8"/>
                <w:szCs w:val="8"/>
                <w:color w:val="auto"/>
              </w:rPr>
              <w:t>Share-based compensation expense</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7,599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7,599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Foreign currency translation adjustment</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color w:val="auto"/>
              </w:rPr>
              <w:t>(32)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(74)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color w:val="auto"/>
              </w:rPr>
              <w:t>(106)</w:t>
            </w:r>
          </w:p>
        </w:tc>
        <w:tc>
          <w:tcPr>
            <w:tcW w:w="0" w:type="dxa"/>
            <w:vAlign w:val="bottom"/>
          </w:tcPr>
          <w:p>
            <w:pPr>
              <w:spacing w:after="0"/>
              <w:rPr>
                <w:sz w:val="1"/>
                <w:szCs w:val="1"/>
                <w:color w:val="auto"/>
              </w:rPr>
            </w:pPr>
          </w:p>
        </w:tc>
      </w:tr>
      <w:tr>
        <w:trPr>
          <w:trHeight w:val="119"/>
        </w:trPr>
        <w:tc>
          <w:tcPr>
            <w:tcW w:w="1660" w:type="dxa"/>
            <w:vAlign w:val="bottom"/>
          </w:tcPr>
          <w:p>
            <w:pPr>
              <w:ind w:left="20"/>
              <w:spacing w:after="0"/>
              <w:rPr>
                <w:sz w:val="20"/>
                <w:szCs w:val="20"/>
                <w:color w:val="auto"/>
              </w:rPr>
            </w:pPr>
            <w:r>
              <w:rPr>
                <w:rFonts w:ascii="Arial" w:cs="Arial" w:eastAsia="Arial" w:hAnsi="Arial"/>
                <w:sz w:val="8"/>
                <w:szCs w:val="8"/>
                <w:color w:val="auto"/>
              </w:rPr>
              <w:t>Forfeitures of Time-Vesting Units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(373)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7"/>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Redemption of LLC Interests</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6,738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gridSpan w:val="2"/>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(6,738)</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29,678</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8"/>
                <w:szCs w:val="8"/>
                <w:color w:val="auto"/>
              </w:rPr>
              <w:t>(29,678)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6"/>
        </w:trPr>
        <w:tc>
          <w:tcPr>
            <w:tcW w:w="1660" w:type="dxa"/>
            <w:vAlign w:val="bottom"/>
          </w:tcPr>
          <w:p>
            <w:pPr>
              <w:ind w:left="20"/>
              <w:spacing w:after="0"/>
              <w:rPr>
                <w:sz w:val="20"/>
                <w:szCs w:val="20"/>
                <w:color w:val="auto"/>
              </w:rPr>
            </w:pPr>
            <w:r>
              <w:rPr>
                <w:rFonts w:ascii="Arial" w:cs="Arial" w:eastAsia="Arial" w:hAnsi="Arial"/>
                <w:sz w:val="8"/>
                <w:szCs w:val="8"/>
                <w:b w:val="1"/>
                <w:bCs w:val="1"/>
                <w:color w:val="auto"/>
              </w:rPr>
              <w:t>Balance at Jun. 30, 2021</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rPr>
              <w:t>105,318</w:t>
            </w:r>
          </w:p>
        </w:tc>
        <w:tc>
          <w:tcPr>
            <w:tcW w:w="20" w:type="dxa"/>
            <w:vAlign w:val="bottom"/>
          </w:tcPr>
          <w:p>
            <w:pPr>
              <w:spacing w:after="0"/>
              <w:rPr>
                <w:sz w:val="10"/>
                <w:szCs w:val="10"/>
                <w:color w:val="auto"/>
              </w:rPr>
            </w:pPr>
          </w:p>
        </w:tc>
        <w:tc>
          <w:tcPr>
            <w:tcW w:w="200" w:type="dxa"/>
            <w:vAlign w:val="bottom"/>
            <w:gridSpan w:val="3"/>
          </w:tcPr>
          <w:p>
            <w:pPr>
              <w:jc w:val="right"/>
              <w:ind w:right="18"/>
              <w:spacing w:after="0"/>
              <w:rPr>
                <w:sz w:val="20"/>
                <w:szCs w:val="20"/>
                <w:color w:val="auto"/>
              </w:rPr>
            </w:pPr>
            <w:r>
              <w:rPr>
                <w:rFonts w:ascii="Arial" w:cs="Arial" w:eastAsia="Arial" w:hAnsi="Arial"/>
                <w:sz w:val="8"/>
                <w:szCs w:val="8"/>
                <w:b w:val="1"/>
                <w:bCs w:val="1"/>
                <w:color w:val="auto"/>
              </w:rPr>
              <w:t>$</w:t>
            </w:r>
          </w:p>
        </w:tc>
        <w:tc>
          <w:tcPr>
            <w:tcW w:w="500" w:type="dxa"/>
            <w:vAlign w:val="bottom"/>
          </w:tcPr>
          <w:p>
            <w:pPr>
              <w:jc w:val="right"/>
              <w:spacing w:after="0"/>
              <w:rPr>
                <w:sz w:val="20"/>
                <w:szCs w:val="20"/>
                <w:color w:val="auto"/>
              </w:rPr>
            </w:pPr>
            <w:r>
              <w:rPr>
                <w:rFonts w:ascii="Arial" w:cs="Arial" w:eastAsia="Arial" w:hAnsi="Arial"/>
                <w:sz w:val="8"/>
                <w:szCs w:val="8"/>
                <w:b w:val="1"/>
                <w:bCs w:val="1"/>
                <w:color w:val="auto"/>
              </w:rPr>
              <w:t>10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b w:val="1"/>
                <w:bCs w:val="1"/>
                <w:color w:val="auto"/>
              </w:rPr>
              <w:t>215,495</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tcPr>
          <w:p>
            <w:pPr>
              <w:jc w:val="right"/>
              <w:ind w:right="18"/>
              <w:spacing w:after="0"/>
              <w:rPr>
                <w:sz w:val="20"/>
                <w:szCs w:val="20"/>
                <w:color w:val="auto"/>
              </w:rPr>
            </w:pPr>
            <w:r>
              <w:rPr>
                <w:rFonts w:ascii="Arial" w:cs="Arial" w:eastAsia="Arial" w:hAnsi="Arial"/>
                <w:sz w:val="8"/>
                <w:szCs w:val="8"/>
                <w:b w:val="1"/>
                <w:bCs w:val="1"/>
                <w:color w:val="auto"/>
              </w:rPr>
              <w:t>22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b w:val="1"/>
                <w:bCs w:val="1"/>
                <w:color w:val="auto"/>
              </w:rPr>
              <w:t>503,689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gridSpan w:val="2"/>
          </w:tcPr>
          <w:p>
            <w:pPr>
              <w:jc w:val="right"/>
              <w:spacing w:after="0"/>
              <w:rPr>
                <w:sz w:val="20"/>
                <w:szCs w:val="20"/>
                <w:color w:val="auto"/>
              </w:rPr>
            </w:pPr>
            <w:r>
              <w:rPr>
                <w:rFonts w:ascii="Arial" w:cs="Arial" w:eastAsia="Arial" w:hAnsi="Arial"/>
                <w:sz w:val="8"/>
                <w:szCs w:val="8"/>
                <w:b w:val="1"/>
                <w:bCs w:val="1"/>
                <w:color w:val="auto"/>
              </w:rPr>
              <w:t>$</w:t>
            </w:r>
          </w:p>
        </w:tc>
        <w:tc>
          <w:tcPr>
            <w:tcW w:w="880" w:type="dxa"/>
            <w:vAlign w:val="bottom"/>
          </w:tcPr>
          <w:p>
            <w:pPr>
              <w:jc w:val="right"/>
              <w:spacing w:after="0"/>
              <w:rPr>
                <w:sz w:val="20"/>
                <w:szCs w:val="20"/>
                <w:color w:val="auto"/>
              </w:rPr>
            </w:pPr>
            <w:r>
              <w:rPr>
                <w:rFonts w:ascii="Arial" w:cs="Arial" w:eastAsia="Arial" w:hAnsi="Arial"/>
                <w:sz w:val="8"/>
                <w:szCs w:val="8"/>
                <w:b w:val="1"/>
                <w:bCs w:val="1"/>
                <w:color w:val="auto"/>
              </w:rPr>
              <w:t>(33,051)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gridSpan w:val="2"/>
          </w:tcPr>
          <w:p>
            <w:pPr>
              <w:jc w:val="right"/>
              <w:spacing w:after="0"/>
              <w:rPr>
                <w:sz w:val="20"/>
                <w:szCs w:val="20"/>
                <w:color w:val="auto"/>
              </w:rPr>
            </w:pPr>
            <w:r>
              <w:rPr>
                <w:rFonts w:ascii="Arial" w:cs="Arial" w:eastAsia="Arial" w:hAnsi="Arial"/>
                <w:sz w:val="8"/>
                <w:szCs w:val="8"/>
                <w:b w:val="1"/>
                <w:bCs w:val="1"/>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8"/>
                <w:szCs w:val="8"/>
                <w:b w:val="1"/>
                <w:bCs w:val="1"/>
                <w:color w:val="auto"/>
              </w:rPr>
              <w:t>(13)</w:t>
            </w:r>
          </w:p>
        </w:tc>
        <w:tc>
          <w:tcPr>
            <w:tcW w:w="60" w:type="dxa"/>
            <w:vAlign w:val="bottom"/>
          </w:tcPr>
          <w:p>
            <w:pPr>
              <w:spacing w:after="0"/>
              <w:rPr>
                <w:sz w:val="10"/>
                <w:szCs w:val="10"/>
                <w:color w:val="auto"/>
              </w:rPr>
            </w:pPr>
          </w:p>
        </w:tc>
        <w:tc>
          <w:tcPr>
            <w:tcW w:w="100" w:type="dxa"/>
            <w:vAlign w:val="bottom"/>
            <w:gridSpan w:val="2"/>
          </w:tcPr>
          <w:p>
            <w:pPr>
              <w:jc w:val="right"/>
              <w:spacing w:after="0"/>
              <w:rPr>
                <w:sz w:val="20"/>
                <w:szCs w:val="20"/>
                <w:color w:val="auto"/>
              </w:rPr>
            </w:pPr>
            <w:r>
              <w:rPr>
                <w:rFonts w:ascii="Arial" w:cs="Arial" w:eastAsia="Arial" w:hAnsi="Arial"/>
                <w:sz w:val="8"/>
                <w:szCs w:val="8"/>
                <w:b w:val="1"/>
                <w:bCs w:val="1"/>
                <w:color w:val="auto"/>
              </w:rPr>
              <w:t>$</w:t>
            </w:r>
          </w:p>
        </w:tc>
        <w:tc>
          <w:tcPr>
            <w:tcW w:w="740" w:type="dxa"/>
            <w:vAlign w:val="bottom"/>
          </w:tcPr>
          <w:p>
            <w:pPr>
              <w:jc w:val="right"/>
              <w:spacing w:after="0"/>
              <w:rPr>
                <w:sz w:val="20"/>
                <w:szCs w:val="20"/>
                <w:color w:val="auto"/>
              </w:rPr>
            </w:pPr>
            <w:r>
              <w:rPr>
                <w:rFonts w:ascii="Arial" w:cs="Arial" w:eastAsia="Arial" w:hAnsi="Arial"/>
                <w:sz w:val="8"/>
                <w:szCs w:val="8"/>
                <w:b w:val="1"/>
                <w:bCs w:val="1"/>
                <w:color w:val="auto"/>
              </w:rPr>
              <w:t>894,503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2"/>
          </w:tcPr>
          <w:p>
            <w:pPr>
              <w:jc w:val="right"/>
              <w:spacing w:after="0"/>
              <w:rPr>
                <w:sz w:val="20"/>
                <w:szCs w:val="20"/>
                <w:color w:val="auto"/>
              </w:rPr>
            </w:pPr>
            <w:r>
              <w:rPr>
                <w:rFonts w:ascii="Arial" w:cs="Arial" w:eastAsia="Arial" w:hAnsi="Arial"/>
                <w:sz w:val="8"/>
                <w:szCs w:val="8"/>
                <w:b w:val="1"/>
                <w:bCs w:val="1"/>
                <w:color w:val="auto"/>
              </w:rPr>
              <w:t>$</w:t>
            </w:r>
          </w:p>
        </w:tc>
        <w:tc>
          <w:tcPr>
            <w:tcW w:w="900" w:type="dxa"/>
            <w:vAlign w:val="bottom"/>
          </w:tcPr>
          <w:p>
            <w:pPr>
              <w:jc w:val="right"/>
              <w:spacing w:after="0"/>
              <w:rPr>
                <w:sz w:val="20"/>
                <w:szCs w:val="20"/>
                <w:color w:val="auto"/>
              </w:rPr>
            </w:pPr>
            <w:r>
              <w:rPr>
                <w:rFonts w:ascii="Arial" w:cs="Arial" w:eastAsia="Arial" w:hAnsi="Arial"/>
                <w:sz w:val="8"/>
                <w:szCs w:val="8"/>
                <w:b w:val="1"/>
                <w:bCs w:val="1"/>
                <w:color w:val="auto"/>
              </w:rPr>
              <w:t>1,365,160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CONDENSED CONSOLIDATED STATEMENTS OF CHANGES IN STOCKHOLDERS’ EQUITY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7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13"/>
          </w:tcPr>
          <w:p>
            <w:pPr>
              <w:ind w:left="460"/>
              <w:spacing w:after="0"/>
              <w:rPr>
                <w:sz w:val="20"/>
                <w:szCs w:val="20"/>
                <w:color w:val="auto"/>
              </w:rPr>
            </w:pPr>
            <w:r>
              <w:rPr>
                <w:rFonts w:ascii="Arial" w:cs="Arial" w:eastAsia="Arial" w:hAnsi="Arial"/>
                <w:sz w:val="8"/>
                <w:szCs w:val="8"/>
                <w:b w:val="1"/>
                <w:bCs w:val="1"/>
                <w:color w:val="auto"/>
              </w:rPr>
              <w:t>Six months ended Jun. 30, 2022</w:t>
            </w: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00" w:type="dxa"/>
            <w:vAlign w:val="bottom"/>
          </w:tcPr>
          <w:p>
            <w:pPr>
              <w:spacing w:after="0"/>
              <w:rPr>
                <w:sz w:val="9"/>
                <w:szCs w:val="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Class A Common Stock</w:t>
            </w:r>
          </w:p>
        </w:tc>
        <w:tc>
          <w:tcPr>
            <w:tcW w:w="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bottom w:val="single" w:sz="8" w:color="auto"/>
            </w:tcBorders>
            <w:gridSpan w:val="6"/>
          </w:tcPr>
          <w:p>
            <w:pPr>
              <w:ind w:left="180"/>
              <w:spacing w:after="0"/>
              <w:rPr>
                <w:sz w:val="20"/>
                <w:szCs w:val="20"/>
                <w:color w:val="auto"/>
              </w:rPr>
            </w:pPr>
            <w:r>
              <w:rPr>
                <w:rFonts w:ascii="Arial" w:cs="Arial" w:eastAsia="Arial" w:hAnsi="Arial"/>
                <w:sz w:val="8"/>
                <w:szCs w:val="8"/>
                <w:b w:val="1"/>
                <w:bCs w:val="1"/>
                <w:color w:val="auto"/>
              </w:rPr>
              <w:t>Class B Common Stock</w:t>
            </w:r>
          </w:p>
        </w:tc>
        <w:tc>
          <w:tcPr>
            <w:tcW w:w="80" w:type="dxa"/>
            <w:vAlign w:val="bottom"/>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6"/>
          </w:tcPr>
          <w:p>
            <w:pPr>
              <w:jc w:val="right"/>
              <w:ind w:right="338"/>
              <w:spacing w:after="0"/>
              <w:rPr>
                <w:sz w:val="20"/>
                <w:szCs w:val="20"/>
                <w:color w:val="auto"/>
              </w:rPr>
            </w:pPr>
            <w:r>
              <w:rPr>
                <w:rFonts w:ascii="Arial" w:cs="Arial" w:eastAsia="Arial" w:hAnsi="Arial"/>
                <w:sz w:val="8"/>
                <w:szCs w:val="8"/>
                <w:b w:val="1"/>
                <w:bCs w:val="1"/>
                <w:color w:val="auto"/>
              </w:rPr>
              <w:t>Treasury Stock</w:t>
            </w: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700" w:type="dxa"/>
            <w:vAlign w:val="bottom"/>
          </w:tcPr>
          <w:p>
            <w:pPr>
              <w:spacing w:after="0"/>
              <w:rPr>
                <w:sz w:val="6"/>
                <w:szCs w:val="6"/>
                <w:color w:val="auto"/>
              </w:rPr>
            </w:pPr>
          </w:p>
        </w:tc>
        <w:tc>
          <w:tcPr>
            <w:tcW w:w="620" w:type="dxa"/>
            <w:vAlign w:val="bottom"/>
            <w:vMerge w:val="restart"/>
          </w:tcPr>
          <w:p>
            <w:pPr>
              <w:jc w:val="right"/>
              <w:ind w:right="138"/>
              <w:spacing w:after="0"/>
              <w:rPr>
                <w:sz w:val="20"/>
                <w:szCs w:val="20"/>
                <w:color w:val="auto"/>
              </w:rPr>
            </w:pPr>
            <w:r>
              <w:rPr>
                <w:rFonts w:ascii="Arial" w:cs="Arial" w:eastAsia="Arial" w:hAnsi="Arial"/>
                <w:sz w:val="8"/>
                <w:szCs w:val="8"/>
                <w:b w:val="1"/>
                <w:bCs w:val="1"/>
                <w:color w:val="auto"/>
              </w:rPr>
              <w:t>Shares</w:t>
            </w:r>
          </w:p>
        </w:tc>
        <w:tc>
          <w:tcPr>
            <w:tcW w:w="80" w:type="dxa"/>
            <w:vAlign w:val="bottom"/>
            <w:vMerge w:val="restart"/>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8"/>
                <w:szCs w:val="8"/>
                <w:b w:val="1"/>
                <w:bCs w:val="1"/>
                <w:color w:val="auto"/>
              </w:rPr>
              <w:t>Shares</w:t>
            </w:r>
          </w:p>
        </w:tc>
        <w:tc>
          <w:tcPr>
            <w:tcW w:w="80" w:type="dxa"/>
            <w:vAlign w:val="bottom"/>
            <w:gridSpan w:val="2"/>
            <w:vMerge w:val="restart"/>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restart"/>
          </w:tcPr>
          <w:p>
            <w:pPr>
              <w:jc w:val="right"/>
              <w:ind w:right="118"/>
              <w:spacing w:after="0"/>
              <w:rPr>
                <w:sz w:val="20"/>
                <w:szCs w:val="20"/>
                <w:color w:val="auto"/>
              </w:rPr>
            </w:pPr>
            <w:r>
              <w:rPr>
                <w:rFonts w:ascii="Arial" w:cs="Arial" w:eastAsia="Arial" w:hAnsi="Arial"/>
                <w:sz w:val="8"/>
                <w:szCs w:val="8"/>
                <w:b w:val="1"/>
                <w:bCs w:val="1"/>
                <w:color w:val="auto"/>
              </w:rPr>
              <w:t>Amount</w:t>
            </w:r>
          </w:p>
        </w:tc>
        <w:tc>
          <w:tcPr>
            <w:tcW w:w="80" w:type="dxa"/>
            <w:vAlign w:val="bottom"/>
            <w:gridSpan w:val="2"/>
            <w:vMerge w:val="restart"/>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restart"/>
          </w:tcPr>
          <w:p>
            <w:pPr>
              <w:jc w:val="right"/>
              <w:ind w:right="138"/>
              <w:spacing w:after="0"/>
              <w:rPr>
                <w:sz w:val="20"/>
                <w:szCs w:val="20"/>
                <w:color w:val="auto"/>
              </w:rPr>
            </w:pPr>
            <w:r>
              <w:rPr>
                <w:rFonts w:ascii="Arial" w:cs="Arial" w:eastAsia="Arial" w:hAnsi="Arial"/>
                <w:sz w:val="8"/>
                <w:szCs w:val="8"/>
                <w:b w:val="1"/>
                <w:bCs w:val="1"/>
                <w:color w:val="auto"/>
              </w:rPr>
              <w:t>Shares</w:t>
            </w:r>
          </w:p>
        </w:tc>
        <w:tc>
          <w:tcPr>
            <w:tcW w:w="80" w:type="dxa"/>
            <w:vAlign w:val="bottom"/>
            <w:gridSpan w:val="2"/>
            <w:vMerge w:val="restart"/>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restart"/>
          </w:tcPr>
          <w:p>
            <w:pPr>
              <w:jc w:val="right"/>
              <w:ind w:right="118"/>
              <w:spacing w:after="0"/>
              <w:rPr>
                <w:sz w:val="20"/>
                <w:szCs w:val="20"/>
                <w:color w:val="auto"/>
              </w:rPr>
            </w:pPr>
            <w:r>
              <w:rPr>
                <w:rFonts w:ascii="Arial" w:cs="Arial" w:eastAsia="Arial" w:hAnsi="Arial"/>
                <w:sz w:val="8"/>
                <w:szCs w:val="8"/>
                <w:b w:val="1"/>
                <w:bCs w:val="1"/>
                <w:color w:val="auto"/>
              </w:rPr>
              <w:t>Amount</w:t>
            </w:r>
          </w:p>
        </w:tc>
        <w:tc>
          <w:tcPr>
            <w:tcW w:w="80" w:type="dxa"/>
            <w:vAlign w:val="bottom"/>
            <w:gridSpan w:val="2"/>
            <w:vMerge w:val="restart"/>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Additional Paid-In</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vMerge w:val="restart"/>
          </w:tcPr>
          <w:p>
            <w:pPr>
              <w:jc w:val="right"/>
              <w:ind w:right="18"/>
              <w:spacing w:after="0"/>
              <w:rPr>
                <w:sz w:val="20"/>
                <w:szCs w:val="20"/>
                <w:color w:val="auto"/>
              </w:rPr>
            </w:pPr>
            <w:r>
              <w:rPr>
                <w:rFonts w:ascii="Arial" w:cs="Arial" w:eastAsia="Arial" w:hAnsi="Arial"/>
                <w:sz w:val="8"/>
                <w:szCs w:val="8"/>
                <w:b w:val="1"/>
                <w:bCs w:val="1"/>
                <w:color w:val="auto"/>
              </w:rPr>
              <w:t>Accumulated Deficit</w:t>
            </w:r>
          </w:p>
        </w:tc>
        <w:tc>
          <w:tcPr>
            <w:tcW w:w="100" w:type="dxa"/>
            <w:vAlign w:val="bottom"/>
            <w:gridSpan w:val="2"/>
            <w:vMerge w:val="restart"/>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gridSpan w:val="3"/>
          </w:tcPr>
          <w:p>
            <w:pPr>
              <w:jc w:val="center"/>
              <w:ind w:right="240"/>
              <w:spacing w:after="0" w:line="74" w:lineRule="exact"/>
              <w:rPr>
                <w:sz w:val="20"/>
                <w:szCs w:val="20"/>
                <w:color w:val="auto"/>
              </w:rPr>
            </w:pPr>
            <w:r>
              <w:rPr>
                <w:rFonts w:ascii="Arial" w:cs="Arial" w:eastAsia="Arial" w:hAnsi="Arial"/>
                <w:sz w:val="8"/>
                <w:szCs w:val="8"/>
                <w:b w:val="1"/>
                <w:bCs w:val="1"/>
                <w:color w:val="auto"/>
              </w:rPr>
              <w:t>Accumulated Other</w:t>
            </w:r>
          </w:p>
        </w:tc>
        <w:tc>
          <w:tcPr>
            <w:tcW w:w="80" w:type="dxa"/>
            <w:vAlign w:val="bottom"/>
          </w:tcPr>
          <w:p>
            <w:pPr>
              <w:spacing w:after="0"/>
              <w:rPr>
                <w:sz w:val="6"/>
                <w:szCs w:val="6"/>
                <w:color w:val="auto"/>
              </w:rPr>
            </w:pPr>
          </w:p>
        </w:tc>
        <w:tc>
          <w:tcPr>
            <w:tcW w:w="840" w:type="dxa"/>
            <w:vAlign w:val="bottom"/>
            <w:gridSpan w:val="2"/>
          </w:tcPr>
          <w:p>
            <w:pPr>
              <w:jc w:val="center"/>
              <w:ind w:right="160"/>
              <w:spacing w:after="0" w:line="74" w:lineRule="exact"/>
              <w:rPr>
                <w:sz w:val="20"/>
                <w:szCs w:val="20"/>
                <w:color w:val="auto"/>
              </w:rPr>
            </w:pPr>
            <w:r>
              <w:rPr>
                <w:rFonts w:ascii="Arial" w:cs="Arial" w:eastAsia="Arial" w:hAnsi="Arial"/>
                <w:sz w:val="8"/>
                <w:szCs w:val="8"/>
                <w:b w:val="1"/>
                <w:bCs w:val="1"/>
                <w:color w:val="auto"/>
              </w:rPr>
              <w:t>Non-Controlling</w:t>
            </w:r>
          </w:p>
        </w:tc>
        <w:tc>
          <w:tcPr>
            <w:tcW w:w="80" w:type="dxa"/>
            <w:vAlign w:val="bottom"/>
          </w:tcPr>
          <w:p>
            <w:pPr>
              <w:spacing w:after="0"/>
              <w:rPr>
                <w:sz w:val="6"/>
                <w:szCs w:val="6"/>
                <w:color w:val="auto"/>
              </w:rPr>
            </w:pPr>
          </w:p>
        </w:tc>
        <w:tc>
          <w:tcPr>
            <w:tcW w:w="920" w:type="dxa"/>
            <w:vAlign w:val="bottom"/>
            <w:vMerge w:val="restart"/>
          </w:tcPr>
          <w:p>
            <w:pPr>
              <w:spacing w:after="0"/>
              <w:rPr>
                <w:sz w:val="20"/>
                <w:szCs w:val="20"/>
                <w:color w:val="auto"/>
              </w:rPr>
            </w:pPr>
            <w:r>
              <w:rPr>
                <w:rFonts w:ascii="Arial" w:cs="Arial" w:eastAsia="Arial" w:hAnsi="Arial"/>
                <w:sz w:val="8"/>
                <w:szCs w:val="8"/>
                <w:b w:val="1"/>
                <w:bCs w:val="1"/>
                <w:color w:val="auto"/>
              </w:rPr>
              <w:t>Stockholders’ Equity</w:t>
            </w:r>
          </w:p>
        </w:tc>
        <w:tc>
          <w:tcPr>
            <w:tcW w:w="0" w:type="dxa"/>
            <w:vAlign w:val="bottom"/>
          </w:tcPr>
          <w:p>
            <w:pPr>
              <w:spacing w:after="0"/>
              <w:rPr>
                <w:sz w:val="1"/>
                <w:szCs w:val="1"/>
                <w:color w:val="auto"/>
              </w:rPr>
            </w:pPr>
          </w:p>
        </w:tc>
      </w:tr>
      <w:tr>
        <w:trPr>
          <w:trHeight w:val="121"/>
        </w:trPr>
        <w:tc>
          <w:tcPr>
            <w:tcW w:w="17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8"/>
                <w:szCs w:val="8"/>
                <w:b w:val="1"/>
                <w:bCs w:val="1"/>
                <w:color w:val="auto"/>
              </w:rPr>
              <w:t>Capital</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1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8"/>
                <w:szCs w:val="8"/>
                <w:b w:val="1"/>
                <w:bCs w:val="1"/>
                <w:color w:val="auto"/>
              </w:rPr>
              <w:t>Comprehensive Income (Loss)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8"/>
                <w:szCs w:val="8"/>
                <w:b w:val="1"/>
                <w:bCs w:val="1"/>
                <w:color w:val="auto"/>
              </w:rPr>
              <w:t>Interest</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00" w:type="dxa"/>
            <w:vAlign w:val="bottom"/>
            <w:shd w:val="clear" w:color="auto" w:fill="CCEEFF"/>
          </w:tcPr>
          <w:p>
            <w:pPr>
              <w:ind w:left="20"/>
              <w:spacing w:after="0"/>
              <w:rPr>
                <w:sz w:val="20"/>
                <w:szCs w:val="20"/>
                <w:color w:val="auto"/>
              </w:rPr>
            </w:pPr>
            <w:r>
              <w:rPr>
                <w:rFonts w:ascii="Arial" w:cs="Arial" w:eastAsia="Arial" w:hAnsi="Arial"/>
                <w:sz w:val="8"/>
                <w:szCs w:val="8"/>
                <w:b w:val="1"/>
                <w:bCs w:val="1"/>
                <w:color w:val="auto"/>
              </w:rPr>
              <w:t>Balance at Jan. 1, 2022</w:t>
            </w: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115,487</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89"/>
              </w:rPr>
              <w:t>11</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205,352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b w:val="1"/>
                <w:bCs w:val="1"/>
                <w:color w:val="auto"/>
                <w:w w:val="88"/>
              </w:rPr>
              <w:t>$</w:t>
            </w: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21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8"/>
                <w:szCs w:val="8"/>
                <w:b w:val="1"/>
                <w:bCs w:val="1"/>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b w:val="1"/>
                <w:bCs w:val="1"/>
                <w:color w:val="auto"/>
                <w:w w:val="88"/>
              </w:rPr>
              <w:t>$</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8"/>
                <w:szCs w:val="8"/>
                <w:b w:val="1"/>
                <w:bCs w:val="1"/>
                <w:color w:val="auto"/>
              </w:rPr>
              <w:t>—</w:t>
            </w:r>
          </w:p>
        </w:tc>
        <w:tc>
          <w:tcPr>
            <w:tcW w:w="180" w:type="dxa"/>
            <w:vAlign w:val="bottom"/>
            <w:gridSpan w:val="2"/>
            <w:shd w:val="clear" w:color="auto" w:fill="CCEEFF"/>
          </w:tcPr>
          <w:p>
            <w:pPr>
              <w:jc w:val="right"/>
              <w:ind w:right="78"/>
              <w:spacing w:after="0"/>
              <w:rPr>
                <w:sz w:val="20"/>
                <w:szCs w:val="20"/>
                <w:color w:val="auto"/>
              </w:rPr>
            </w:pPr>
            <w:r>
              <w:rPr>
                <w:rFonts w:ascii="Arial" w:cs="Arial" w:eastAsia="Arial" w:hAnsi="Arial"/>
                <w:sz w:val="8"/>
                <w:szCs w:val="8"/>
                <w:b w:val="1"/>
                <w:bCs w:val="1"/>
                <w:color w:val="auto"/>
                <w:w w:val="8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561,447</w:t>
            </w:r>
          </w:p>
        </w:tc>
        <w:tc>
          <w:tcPr>
            <w:tcW w:w="20" w:type="dxa"/>
            <w:vAlign w:val="bottom"/>
            <w:shd w:val="clear" w:color="auto" w:fill="CCEEFF"/>
          </w:tcPr>
          <w:p>
            <w:pPr>
              <w:spacing w:after="0"/>
              <w:rPr>
                <w:sz w:val="10"/>
                <w:szCs w:val="10"/>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(208,317)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(59)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539,387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892,490</w:t>
            </w: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rPr>
                <w:sz w:val="20"/>
                <w:szCs w:val="20"/>
                <w:color w:val="auto"/>
              </w:rPr>
            </w:pPr>
            <w:r>
              <w:rPr>
                <w:rFonts w:ascii="Arial" w:cs="Arial" w:eastAsia="Arial" w:hAnsi="Arial"/>
                <w:sz w:val="8"/>
                <w:szCs w:val="8"/>
                <w:color w:val="auto"/>
              </w:rPr>
              <w:t>Net loss</w:t>
            </w: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(57,302)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(93,691)</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(150,993)</w:t>
            </w: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ind w:left="20"/>
              <w:spacing w:after="0"/>
              <w:rPr>
                <w:sz w:val="20"/>
                <w:szCs w:val="20"/>
                <w:color w:val="auto"/>
              </w:rPr>
            </w:pPr>
            <w:r>
              <w:rPr>
                <w:rFonts w:ascii="Arial" w:cs="Arial" w:eastAsia="Arial" w:hAnsi="Arial"/>
                <w:sz w:val="8"/>
                <w:szCs w:val="8"/>
                <w:color w:val="auto"/>
              </w:rPr>
              <w:t>Issuance of Class A common shares</w:t>
            </w: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700" w:type="dxa"/>
            <w:vAlign w:val="bottom"/>
            <w:shd w:val="clear" w:color="auto" w:fill="CCEEFF"/>
          </w:tcPr>
          <w:p>
            <w:pPr>
              <w:ind w:left="20"/>
              <w:spacing w:after="0" w:line="85" w:lineRule="exact"/>
              <w:rPr>
                <w:sz w:val="20"/>
                <w:szCs w:val="20"/>
                <w:color w:val="auto"/>
              </w:rPr>
            </w:pPr>
            <w:r>
              <w:rPr>
                <w:rFonts w:ascii="Arial" w:cs="Arial" w:eastAsia="Arial" w:hAnsi="Arial"/>
                <w:sz w:val="8"/>
                <w:szCs w:val="8"/>
                <w:color w:val="auto"/>
              </w:rPr>
              <w:t>related to share-based compensation</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8,940</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336</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337</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20"/>
              <w:spacing w:after="0"/>
              <w:rPr>
                <w:sz w:val="20"/>
                <w:szCs w:val="20"/>
                <w:color w:val="auto"/>
              </w:rPr>
            </w:pPr>
            <w:r>
              <w:rPr>
                <w:rFonts w:ascii="Arial" w:cs="Arial" w:eastAsia="Arial" w:hAnsi="Arial"/>
                <w:sz w:val="8"/>
                <w:szCs w:val="8"/>
                <w:color w:val="auto"/>
              </w:rPr>
              <w:t>plans</w:t>
            </w:r>
          </w:p>
        </w:tc>
        <w:tc>
          <w:tcPr>
            <w:tcW w:w="6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700" w:type="dxa"/>
            <w:vAlign w:val="bottom"/>
          </w:tcPr>
          <w:p>
            <w:pPr>
              <w:ind w:left="20"/>
              <w:spacing w:after="0"/>
              <w:rPr>
                <w:sz w:val="20"/>
                <w:szCs w:val="20"/>
                <w:color w:val="auto"/>
              </w:rPr>
            </w:pPr>
            <w:r>
              <w:rPr>
                <w:rFonts w:ascii="Arial" w:cs="Arial" w:eastAsia="Arial" w:hAnsi="Arial"/>
                <w:sz w:val="8"/>
                <w:szCs w:val="8"/>
                <w:color w:val="auto"/>
              </w:rPr>
              <w:t>Share-based compensation expense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17,293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17,293</w:t>
            </w: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20"/>
              <w:spacing w:after="0"/>
              <w:rPr>
                <w:sz w:val="20"/>
                <w:szCs w:val="20"/>
                <w:color w:val="auto"/>
              </w:rPr>
            </w:pPr>
            <w:r>
              <w:rPr>
                <w:rFonts w:ascii="Arial" w:cs="Arial" w:eastAsia="Arial" w:hAnsi="Arial"/>
                <w:sz w:val="8"/>
                <w:szCs w:val="8"/>
                <w:color w:val="auto"/>
              </w:rPr>
              <w:t>Foreign currency translation adjustment</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(175)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(287)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(462)</w:t>
            </w:r>
          </w:p>
        </w:tc>
        <w:tc>
          <w:tcPr>
            <w:tcW w:w="0" w:type="dxa"/>
            <w:vAlign w:val="bottom"/>
          </w:tcPr>
          <w:p>
            <w:pPr>
              <w:spacing w:after="0"/>
              <w:rPr>
                <w:sz w:val="1"/>
                <w:szCs w:val="1"/>
                <w:color w:val="auto"/>
              </w:rPr>
            </w:pPr>
          </w:p>
        </w:tc>
      </w:tr>
      <w:tr>
        <w:trPr>
          <w:trHeight w:val="85"/>
        </w:trPr>
        <w:tc>
          <w:tcPr>
            <w:tcW w:w="1700" w:type="dxa"/>
            <w:vAlign w:val="bottom"/>
          </w:tcPr>
          <w:p>
            <w:pPr>
              <w:ind w:left="20"/>
              <w:spacing w:after="0" w:line="85" w:lineRule="exact"/>
              <w:rPr>
                <w:sz w:val="20"/>
                <w:szCs w:val="20"/>
                <w:color w:val="auto"/>
              </w:rPr>
            </w:pPr>
            <w:r>
              <w:rPr>
                <w:rFonts w:ascii="Arial" w:cs="Arial" w:eastAsia="Arial" w:hAnsi="Arial"/>
                <w:sz w:val="8"/>
                <w:szCs w:val="8"/>
                <w:color w:val="auto"/>
              </w:rPr>
              <w:t>Class A common shares repurchased for</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8"/>
                <w:szCs w:val="8"/>
                <w:color w:val="auto"/>
              </w:rPr>
              <w:t>(189)</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8"/>
                <w:szCs w:val="8"/>
                <w:color w:val="auto"/>
              </w:rPr>
              <w:t>(344)</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8"/>
                <w:szCs w:val="8"/>
                <w:color w:val="auto"/>
              </w:rPr>
              <w:t>(344)</w:t>
            </w:r>
          </w:p>
        </w:tc>
        <w:tc>
          <w:tcPr>
            <w:tcW w:w="0" w:type="dxa"/>
            <w:vAlign w:val="bottom"/>
          </w:tcPr>
          <w:p>
            <w:pPr>
              <w:spacing w:after="0"/>
              <w:rPr>
                <w:sz w:val="1"/>
                <w:szCs w:val="1"/>
                <w:color w:val="auto"/>
              </w:rPr>
            </w:pPr>
          </w:p>
        </w:tc>
      </w:tr>
      <w:tr>
        <w:trPr>
          <w:trHeight w:val="119"/>
        </w:trPr>
        <w:tc>
          <w:tcPr>
            <w:tcW w:w="1700" w:type="dxa"/>
            <w:vAlign w:val="bottom"/>
          </w:tcPr>
          <w:p>
            <w:pPr>
              <w:ind w:left="20"/>
              <w:spacing w:after="0"/>
              <w:rPr>
                <w:sz w:val="20"/>
                <w:szCs w:val="20"/>
                <w:color w:val="auto"/>
              </w:rPr>
            </w:pPr>
            <w:r>
              <w:rPr>
                <w:rFonts w:ascii="Arial" w:cs="Arial" w:eastAsia="Arial" w:hAnsi="Arial"/>
                <w:sz w:val="8"/>
                <w:szCs w:val="8"/>
                <w:color w:val="auto"/>
              </w:rPr>
              <w:t>employee tax withholdings</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20"/>
              <w:spacing w:after="0"/>
              <w:rPr>
                <w:sz w:val="20"/>
                <w:szCs w:val="20"/>
                <w:color w:val="auto"/>
              </w:rPr>
            </w:pPr>
            <w:r>
              <w:rPr>
                <w:rFonts w:ascii="Arial" w:cs="Arial" w:eastAsia="Arial" w:hAnsi="Arial"/>
                <w:sz w:val="8"/>
                <w:szCs w:val="8"/>
                <w:color w:val="auto"/>
              </w:rPr>
              <w:t>Forfeitures of Time-Vesting Units</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(267)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9"/>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Redemption of LLC Interests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7,538</w:t>
            </w: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(7,538)</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33,551</w:t>
            </w: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(33,551)</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46"/>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Balance at Jun. 30, 2022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131,965</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9"/>
              </w:rPr>
              <w:t>13</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197,547</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20</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(189)</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(344)</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gridSpan w:val="2"/>
            <w:shd w:val="clear" w:color="auto" w:fill="CCEEFF"/>
          </w:tcPr>
          <w:p>
            <w:pPr>
              <w:jc w:val="right"/>
              <w:ind w:right="78"/>
              <w:spacing w:after="0"/>
              <w:rPr>
                <w:sz w:val="20"/>
                <w:szCs w:val="20"/>
                <w:color w:val="auto"/>
              </w:rPr>
            </w:pPr>
            <w:r>
              <w:rPr>
                <w:rFonts w:ascii="Arial" w:cs="Arial" w:eastAsia="Arial" w:hAnsi="Arial"/>
                <w:sz w:val="8"/>
                <w:szCs w:val="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612,627</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gridSpan w:val="2"/>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(265,619)</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(234)</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411,858</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758,321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8"/>
          </w:tcPr>
          <w:p>
            <w:pPr>
              <w:ind w:left="360"/>
              <w:spacing w:after="0"/>
              <w:rPr>
                <w:sz w:val="20"/>
                <w:szCs w:val="20"/>
                <w:color w:val="auto"/>
              </w:rPr>
            </w:pPr>
            <w:r>
              <w:rPr>
                <w:rFonts w:ascii="Arial" w:cs="Arial" w:eastAsia="Arial" w:hAnsi="Arial"/>
                <w:sz w:val="8"/>
                <w:szCs w:val="8"/>
                <w:b w:val="1"/>
                <w:bCs w:val="1"/>
                <w:color w:val="auto"/>
              </w:rPr>
              <w:t>Six months ended Jun. 30, 2021</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bottom w:val="single" w:sz="8" w:color="auto"/>
            </w:tcBorders>
            <w:gridSpan w:val="7"/>
          </w:tcPr>
          <w:p>
            <w:pPr>
              <w:ind w:left="200"/>
              <w:spacing w:after="0"/>
              <w:rPr>
                <w:sz w:val="20"/>
                <w:szCs w:val="20"/>
                <w:color w:val="auto"/>
              </w:rPr>
            </w:pPr>
            <w:r>
              <w:rPr>
                <w:rFonts w:ascii="Arial" w:cs="Arial" w:eastAsia="Arial" w:hAnsi="Arial"/>
                <w:sz w:val="8"/>
                <w:szCs w:val="8"/>
                <w:b w:val="1"/>
                <w:bCs w:val="1"/>
                <w:color w:val="auto"/>
              </w:rPr>
              <w:t>Class A Common Stock</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Borders>
              <w:bottom w:val="single" w:sz="8" w:color="auto"/>
            </w:tcBorders>
            <w:gridSpan w:val="7"/>
          </w:tcPr>
          <w:p>
            <w:pPr>
              <w:ind w:left="200"/>
              <w:spacing w:after="0"/>
              <w:rPr>
                <w:sz w:val="20"/>
                <w:szCs w:val="20"/>
                <w:color w:val="auto"/>
              </w:rPr>
            </w:pPr>
            <w:r>
              <w:rPr>
                <w:rFonts w:ascii="Arial" w:cs="Arial" w:eastAsia="Arial" w:hAnsi="Arial"/>
                <w:sz w:val="8"/>
                <w:szCs w:val="8"/>
                <w:b w:val="1"/>
                <w:bCs w:val="1"/>
                <w:color w:val="auto"/>
              </w:rPr>
              <w:t>Class B Common Stock</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Amount</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Amount</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3"/>
          </w:tcPr>
          <w:p>
            <w:pPr>
              <w:jc w:val="center"/>
              <w:ind w:right="40"/>
              <w:spacing w:after="0" w:line="74" w:lineRule="exact"/>
              <w:rPr>
                <w:sz w:val="20"/>
                <w:szCs w:val="20"/>
                <w:color w:val="auto"/>
              </w:rPr>
            </w:pPr>
            <w:r>
              <w:rPr>
                <w:rFonts w:ascii="Arial" w:cs="Arial" w:eastAsia="Arial" w:hAnsi="Arial"/>
                <w:sz w:val="8"/>
                <w:szCs w:val="8"/>
                <w:b w:val="1"/>
                <w:bCs w:val="1"/>
                <w:color w:val="auto"/>
              </w:rPr>
              <w:t>Additional Paid-In</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8"/>
                <w:szCs w:val="8"/>
                <w:b w:val="1"/>
                <w:bCs w:val="1"/>
                <w:color w:val="auto"/>
              </w:rPr>
              <w:t>Accumulated Deficit</w:t>
            </w:r>
          </w:p>
        </w:tc>
        <w:tc>
          <w:tcPr>
            <w:tcW w:w="8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gridSpan w:val="3"/>
          </w:tcPr>
          <w:p>
            <w:pPr>
              <w:jc w:val="center"/>
              <w:ind w:right="240"/>
              <w:spacing w:after="0" w:line="74" w:lineRule="exact"/>
              <w:rPr>
                <w:sz w:val="20"/>
                <w:szCs w:val="20"/>
                <w:color w:val="auto"/>
              </w:rPr>
            </w:pPr>
            <w:r>
              <w:rPr>
                <w:rFonts w:ascii="Arial" w:cs="Arial" w:eastAsia="Arial" w:hAnsi="Arial"/>
                <w:sz w:val="8"/>
                <w:szCs w:val="8"/>
                <w:b w:val="1"/>
                <w:bCs w:val="1"/>
                <w:color w:val="auto"/>
              </w:rPr>
              <w:t>Accumulated Other</w:t>
            </w:r>
          </w:p>
        </w:tc>
        <w:tc>
          <w:tcPr>
            <w:tcW w:w="80" w:type="dxa"/>
            <w:vAlign w:val="bottom"/>
          </w:tcPr>
          <w:p>
            <w:pPr>
              <w:spacing w:after="0"/>
              <w:rPr>
                <w:sz w:val="6"/>
                <w:szCs w:val="6"/>
                <w:color w:val="auto"/>
              </w:rPr>
            </w:pPr>
          </w:p>
        </w:tc>
        <w:tc>
          <w:tcPr>
            <w:tcW w:w="840" w:type="dxa"/>
            <w:vAlign w:val="bottom"/>
            <w:gridSpan w:val="2"/>
          </w:tcPr>
          <w:p>
            <w:pPr>
              <w:jc w:val="center"/>
              <w:ind w:right="180"/>
              <w:spacing w:after="0" w:line="74" w:lineRule="exact"/>
              <w:rPr>
                <w:sz w:val="20"/>
                <w:szCs w:val="20"/>
                <w:color w:val="auto"/>
              </w:rPr>
            </w:pPr>
            <w:r>
              <w:rPr>
                <w:rFonts w:ascii="Arial" w:cs="Arial" w:eastAsia="Arial" w:hAnsi="Arial"/>
                <w:sz w:val="8"/>
                <w:szCs w:val="8"/>
                <w:b w:val="1"/>
                <w:bCs w:val="1"/>
                <w:color w:val="auto"/>
              </w:rPr>
              <w:t>Non-Controlling</w:t>
            </w:r>
          </w:p>
        </w:tc>
        <w:tc>
          <w:tcPr>
            <w:tcW w:w="80" w:type="dxa"/>
            <w:vAlign w:val="bottom"/>
          </w:tcPr>
          <w:p>
            <w:pPr>
              <w:spacing w:after="0"/>
              <w:rPr>
                <w:sz w:val="6"/>
                <w:szCs w:val="6"/>
                <w:color w:val="auto"/>
              </w:rPr>
            </w:pPr>
          </w:p>
        </w:tc>
        <w:tc>
          <w:tcPr>
            <w:tcW w:w="920" w:type="dxa"/>
            <w:vAlign w:val="bottom"/>
            <w:vMerge w:val="restart"/>
          </w:tcPr>
          <w:p>
            <w:pPr>
              <w:spacing w:after="0"/>
              <w:rPr>
                <w:sz w:val="20"/>
                <w:szCs w:val="20"/>
                <w:color w:val="auto"/>
              </w:rPr>
            </w:pPr>
            <w:r>
              <w:rPr>
                <w:rFonts w:ascii="Arial" w:cs="Arial" w:eastAsia="Arial" w:hAnsi="Arial"/>
                <w:sz w:val="8"/>
                <w:szCs w:val="8"/>
                <w:b w:val="1"/>
                <w:bCs w:val="1"/>
                <w:color w:val="auto"/>
              </w:rPr>
              <w:t>Stockholders’ Equity</w:t>
            </w:r>
          </w:p>
        </w:tc>
        <w:tc>
          <w:tcPr>
            <w:tcW w:w="0" w:type="dxa"/>
            <w:vAlign w:val="bottom"/>
          </w:tcPr>
          <w:p>
            <w:pPr>
              <w:spacing w:after="0"/>
              <w:rPr>
                <w:sz w:val="1"/>
                <w:szCs w:val="1"/>
                <w:color w:val="auto"/>
              </w:rPr>
            </w:pPr>
          </w:p>
        </w:tc>
      </w:tr>
      <w:tr>
        <w:trPr>
          <w:trHeight w:val="121"/>
        </w:trPr>
        <w:tc>
          <w:tcPr>
            <w:tcW w:w="170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gridSpan w:val="2"/>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gridSpan w:val="2"/>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38"/>
              <w:spacing w:after="0"/>
              <w:rPr>
                <w:sz w:val="20"/>
                <w:szCs w:val="20"/>
                <w:color w:val="auto"/>
              </w:rPr>
            </w:pPr>
            <w:r>
              <w:rPr>
                <w:rFonts w:ascii="Arial" w:cs="Arial" w:eastAsia="Arial" w:hAnsi="Arial"/>
                <w:sz w:val="8"/>
                <w:szCs w:val="8"/>
                <w:b w:val="1"/>
                <w:bCs w:val="1"/>
                <w:color w:val="auto"/>
              </w:rPr>
              <w:t>Capital</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rPr>
              <w:t>Comprehensive Income (Loss)</w:t>
            </w:r>
          </w:p>
        </w:tc>
        <w:tc>
          <w:tcPr>
            <w:tcW w:w="100" w:type="dxa"/>
            <w:vAlign w:val="bottom"/>
            <w:tcBorders>
              <w:bottom w:val="single" w:sz="8" w:color="CCEEFF"/>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58"/>
              <w:spacing w:after="0"/>
              <w:rPr>
                <w:sz w:val="20"/>
                <w:szCs w:val="20"/>
                <w:color w:val="auto"/>
              </w:rPr>
            </w:pPr>
            <w:r>
              <w:rPr>
                <w:rFonts w:ascii="Arial" w:cs="Arial" w:eastAsia="Arial" w:hAnsi="Arial"/>
                <w:sz w:val="8"/>
                <w:szCs w:val="8"/>
                <w:b w:val="1"/>
                <w:bCs w:val="1"/>
                <w:color w:val="auto"/>
              </w:rPr>
              <w:t>Interest</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00" w:type="dxa"/>
            <w:vAlign w:val="bottom"/>
            <w:shd w:val="clear" w:color="auto" w:fill="CCEEFF"/>
          </w:tcPr>
          <w:p>
            <w:pPr>
              <w:ind w:left="20"/>
              <w:spacing w:after="0"/>
              <w:rPr>
                <w:sz w:val="20"/>
                <w:szCs w:val="20"/>
                <w:color w:val="auto"/>
              </w:rPr>
            </w:pPr>
            <w:r>
              <w:rPr>
                <w:rFonts w:ascii="Arial" w:cs="Arial" w:eastAsia="Arial" w:hAnsi="Arial"/>
                <w:sz w:val="8"/>
                <w:szCs w:val="8"/>
                <w:b w:val="1"/>
                <w:bCs w:val="1"/>
                <w:color w:val="auto"/>
              </w:rPr>
              <w:t>Balance at Jan. 1, 2021</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84,196</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236,997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24</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58"/>
              <w:spacing w:after="0"/>
              <w:rPr>
                <w:sz w:val="20"/>
                <w:szCs w:val="20"/>
                <w:color w:val="auto"/>
              </w:rPr>
            </w:pPr>
            <w:r>
              <w:rPr>
                <w:rFonts w:ascii="Arial" w:cs="Arial" w:eastAsia="Arial" w:hAnsi="Arial"/>
                <w:sz w:val="8"/>
                <w:szCs w:val="8"/>
                <w:b w:val="1"/>
                <w:bCs w:val="1"/>
                <w:color w:val="auto"/>
              </w:rPr>
              <w:t>$</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399,169</w:t>
            </w:r>
          </w:p>
        </w:tc>
        <w:tc>
          <w:tcPr>
            <w:tcW w:w="20" w:type="dxa"/>
            <w:vAlign w:val="bottom"/>
            <w:shd w:val="clear" w:color="auto" w:fill="CCEEFF"/>
          </w:tcPr>
          <w:p>
            <w:pPr>
              <w:spacing w:after="0"/>
              <w:rPr>
                <w:sz w:val="10"/>
                <w:szCs w:val="10"/>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(18,802)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1,018,739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1,399,155</w:t>
            </w: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rPr>
                <w:sz w:val="20"/>
                <w:szCs w:val="20"/>
                <w:color w:val="auto"/>
              </w:rPr>
            </w:pPr>
            <w:r>
              <w:rPr>
                <w:rFonts w:ascii="Arial" w:cs="Arial" w:eastAsia="Arial" w:hAnsi="Arial"/>
                <w:sz w:val="8"/>
                <w:szCs w:val="8"/>
                <w:color w:val="auto"/>
              </w:rPr>
              <w:t>Cumulative impact of Topic 842</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(17)</w:t>
            </w: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(46)</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(63)</w:t>
            </w: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20"/>
              <w:spacing w:after="0"/>
              <w:rPr>
                <w:sz w:val="20"/>
                <w:szCs w:val="20"/>
                <w:color w:val="auto"/>
              </w:rPr>
            </w:pPr>
            <w:r>
              <w:rPr>
                <w:rFonts w:ascii="Arial" w:cs="Arial" w:eastAsia="Arial" w:hAnsi="Arial"/>
                <w:sz w:val="8"/>
                <w:szCs w:val="8"/>
                <w:color w:val="auto"/>
              </w:rPr>
              <w:t>Cumulative impact of Topic 326</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(141)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(398)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(539)</w:t>
            </w:r>
          </w:p>
        </w:tc>
        <w:tc>
          <w:tcPr>
            <w:tcW w:w="0" w:type="dxa"/>
            <w:vAlign w:val="bottom"/>
          </w:tcPr>
          <w:p>
            <w:pPr>
              <w:spacing w:after="0"/>
              <w:rPr>
                <w:sz w:val="1"/>
                <w:szCs w:val="1"/>
                <w:color w:val="auto"/>
              </w:rPr>
            </w:pPr>
          </w:p>
        </w:tc>
      </w:tr>
      <w:tr>
        <w:trPr>
          <w:trHeight w:val="119"/>
        </w:trPr>
        <w:tc>
          <w:tcPr>
            <w:tcW w:w="1700" w:type="dxa"/>
            <w:vAlign w:val="bottom"/>
          </w:tcPr>
          <w:p>
            <w:pPr>
              <w:ind w:left="20"/>
              <w:spacing w:after="0"/>
              <w:rPr>
                <w:sz w:val="20"/>
                <w:szCs w:val="20"/>
                <w:color w:val="auto"/>
              </w:rPr>
            </w:pPr>
            <w:r>
              <w:rPr>
                <w:rFonts w:ascii="Arial" w:cs="Arial" w:eastAsia="Arial" w:hAnsi="Arial"/>
                <w:sz w:val="8"/>
                <w:szCs w:val="8"/>
                <w:color w:val="auto"/>
              </w:rPr>
              <w:t>Net income (loss)</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(14,091)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(32,390)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(46,481)</w:t>
            </w:r>
          </w:p>
        </w:tc>
        <w:tc>
          <w:tcPr>
            <w:tcW w:w="0" w:type="dxa"/>
            <w:vAlign w:val="bottom"/>
          </w:tcPr>
          <w:p>
            <w:pPr>
              <w:spacing w:after="0"/>
              <w:rPr>
                <w:sz w:val="1"/>
                <w:szCs w:val="1"/>
                <w:color w:val="auto"/>
              </w:rPr>
            </w:pPr>
          </w:p>
        </w:tc>
      </w:tr>
      <w:tr>
        <w:trPr>
          <w:trHeight w:val="93"/>
        </w:trPr>
        <w:tc>
          <w:tcPr>
            <w:tcW w:w="2880" w:type="dxa"/>
            <w:vAlign w:val="bottom"/>
            <w:gridSpan w:val="4"/>
            <w:shd w:val="clear" w:color="auto" w:fill="CCEEFF"/>
          </w:tcPr>
          <w:p>
            <w:pPr>
              <w:ind w:left="20"/>
              <w:spacing w:after="0"/>
              <w:rPr>
                <w:sz w:val="20"/>
                <w:szCs w:val="20"/>
                <w:color w:val="auto"/>
              </w:rPr>
            </w:pPr>
            <w:r>
              <w:rPr>
                <w:rFonts w:ascii="Arial" w:cs="Arial" w:eastAsia="Arial" w:hAnsi="Arial"/>
                <w:sz w:val="8"/>
                <w:szCs w:val="8"/>
                <w:color w:val="auto"/>
              </w:rPr>
              <w:t>Issuance of Class A common shares related to share-based compensation</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74</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476</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476</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20"/>
              <w:spacing w:after="0"/>
              <w:rPr>
                <w:sz w:val="20"/>
                <w:szCs w:val="20"/>
                <w:color w:val="auto"/>
              </w:rPr>
            </w:pPr>
            <w:r>
              <w:rPr>
                <w:rFonts w:ascii="Arial" w:cs="Arial" w:eastAsia="Arial" w:hAnsi="Arial"/>
                <w:sz w:val="8"/>
                <w:szCs w:val="8"/>
                <w:color w:val="auto"/>
              </w:rPr>
              <w:t>plans</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3"/>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700" w:type="dxa"/>
            <w:vAlign w:val="bottom"/>
          </w:tcPr>
          <w:p>
            <w:pPr>
              <w:ind w:left="20"/>
              <w:spacing w:after="0"/>
              <w:rPr>
                <w:sz w:val="20"/>
                <w:szCs w:val="20"/>
                <w:color w:val="auto"/>
              </w:rPr>
            </w:pPr>
            <w:r>
              <w:rPr>
                <w:rFonts w:ascii="Arial" w:cs="Arial" w:eastAsia="Arial" w:hAnsi="Arial"/>
                <w:sz w:val="8"/>
                <w:szCs w:val="8"/>
                <w:color w:val="auto"/>
              </w:rPr>
              <w:t>Share-based compensation expense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12,711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12,711</w:t>
            </w: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20"/>
              <w:spacing w:after="0"/>
              <w:rPr>
                <w:sz w:val="20"/>
                <w:szCs w:val="20"/>
                <w:color w:val="auto"/>
              </w:rPr>
            </w:pPr>
            <w:r>
              <w:rPr>
                <w:rFonts w:ascii="Arial" w:cs="Arial" w:eastAsia="Arial" w:hAnsi="Arial"/>
                <w:sz w:val="8"/>
                <w:szCs w:val="8"/>
                <w:color w:val="auto"/>
              </w:rPr>
              <w:t>Foreign currency translation adjustment</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(30)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(69)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(99)</w:t>
            </w:r>
          </w:p>
        </w:tc>
        <w:tc>
          <w:tcPr>
            <w:tcW w:w="0" w:type="dxa"/>
            <w:vAlign w:val="bottom"/>
          </w:tcPr>
          <w:p>
            <w:pPr>
              <w:spacing w:after="0"/>
              <w:rPr>
                <w:sz w:val="1"/>
                <w:szCs w:val="1"/>
                <w:color w:val="auto"/>
              </w:rPr>
            </w:pPr>
          </w:p>
        </w:tc>
      </w:tr>
      <w:tr>
        <w:trPr>
          <w:trHeight w:val="119"/>
        </w:trPr>
        <w:tc>
          <w:tcPr>
            <w:tcW w:w="1700" w:type="dxa"/>
            <w:vAlign w:val="bottom"/>
          </w:tcPr>
          <w:p>
            <w:pPr>
              <w:ind w:left="20"/>
              <w:spacing w:after="0"/>
              <w:rPr>
                <w:sz w:val="20"/>
                <w:szCs w:val="20"/>
                <w:color w:val="auto"/>
              </w:rPr>
            </w:pPr>
            <w:r>
              <w:rPr>
                <w:rFonts w:ascii="Arial" w:cs="Arial" w:eastAsia="Arial" w:hAnsi="Arial"/>
                <w:sz w:val="8"/>
                <w:szCs w:val="8"/>
                <w:color w:val="auto"/>
              </w:rPr>
              <w:t>Forfeitures of Time-Vesting Units</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spacing w:after="0"/>
              <w:rPr>
                <w:sz w:val="20"/>
                <w:szCs w:val="20"/>
                <w:color w:val="auto"/>
              </w:rPr>
            </w:pPr>
            <w:r>
              <w:rPr>
                <w:rFonts w:ascii="Arial" w:cs="Arial" w:eastAsia="Arial" w:hAnsi="Arial"/>
                <w:sz w:val="8"/>
                <w:szCs w:val="8"/>
                <w:color w:val="auto"/>
              </w:rPr>
              <w:t>(454)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8"/>
                <w:szCs w:val="8"/>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20"/>
              <w:spacing w:after="0"/>
              <w:rPr>
                <w:sz w:val="20"/>
                <w:szCs w:val="20"/>
                <w:color w:val="auto"/>
              </w:rPr>
            </w:pPr>
            <w:r>
              <w:rPr>
                <w:rFonts w:ascii="Arial" w:cs="Arial" w:eastAsia="Arial" w:hAnsi="Arial"/>
                <w:sz w:val="8"/>
                <w:szCs w:val="8"/>
                <w:color w:val="auto"/>
              </w:rPr>
              <w:t>Redemption of LLC Interests</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21,048</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(21,048)</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8"/>
                <w:szCs w:val="8"/>
                <w:color w:val="auto"/>
              </w:rPr>
              <w:t>(2)</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91,333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(91,333)</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6"/>
        </w:trPr>
        <w:tc>
          <w:tcPr>
            <w:tcW w:w="1700" w:type="dxa"/>
            <w:vAlign w:val="bottom"/>
          </w:tcPr>
          <w:p>
            <w:pPr>
              <w:ind w:left="20"/>
              <w:spacing w:after="0"/>
              <w:rPr>
                <w:sz w:val="20"/>
                <w:szCs w:val="20"/>
                <w:color w:val="auto"/>
              </w:rPr>
            </w:pPr>
            <w:r>
              <w:rPr>
                <w:rFonts w:ascii="Arial" w:cs="Arial" w:eastAsia="Arial" w:hAnsi="Arial"/>
                <w:sz w:val="8"/>
                <w:szCs w:val="8"/>
                <w:b w:val="1"/>
                <w:bCs w:val="1"/>
                <w:color w:val="auto"/>
              </w:rPr>
              <w:t>Balance at Jun. 30, 2021</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b w:val="1"/>
                <w:bCs w:val="1"/>
                <w:color w:val="auto"/>
              </w:rPr>
              <w:t>105,318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rPr>
              <w:t>$</w:t>
            </w:r>
          </w:p>
        </w:tc>
        <w:tc>
          <w:tcPr>
            <w:tcW w:w="520" w:type="dxa"/>
            <w:vAlign w:val="bottom"/>
          </w:tcPr>
          <w:p>
            <w:pPr>
              <w:jc w:val="right"/>
              <w:spacing w:after="0"/>
              <w:rPr>
                <w:sz w:val="20"/>
                <w:szCs w:val="20"/>
                <w:color w:val="auto"/>
              </w:rPr>
            </w:pPr>
            <w:r>
              <w:rPr>
                <w:rFonts w:ascii="Arial" w:cs="Arial" w:eastAsia="Arial" w:hAnsi="Arial"/>
                <w:sz w:val="8"/>
                <w:szCs w:val="8"/>
                <w:b w:val="1"/>
                <w:bCs w:val="1"/>
                <w:color w:val="auto"/>
              </w:rPr>
              <w:t>10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spacing w:after="0"/>
              <w:rPr>
                <w:sz w:val="20"/>
                <w:szCs w:val="20"/>
                <w:color w:val="auto"/>
              </w:rPr>
            </w:pPr>
            <w:r>
              <w:rPr>
                <w:rFonts w:ascii="Arial" w:cs="Arial" w:eastAsia="Arial" w:hAnsi="Arial"/>
                <w:sz w:val="8"/>
                <w:szCs w:val="8"/>
                <w:b w:val="1"/>
                <w:bCs w:val="1"/>
                <w:color w:val="auto"/>
              </w:rPr>
              <w:t>215,495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rPr>
              <w:t>$</w:t>
            </w:r>
          </w:p>
        </w:tc>
        <w:tc>
          <w:tcPr>
            <w:tcW w:w="520" w:type="dxa"/>
            <w:vAlign w:val="bottom"/>
          </w:tcPr>
          <w:p>
            <w:pPr>
              <w:jc w:val="right"/>
              <w:spacing w:after="0"/>
              <w:rPr>
                <w:sz w:val="20"/>
                <w:szCs w:val="20"/>
                <w:color w:val="auto"/>
              </w:rPr>
            </w:pPr>
            <w:r>
              <w:rPr>
                <w:rFonts w:ascii="Arial" w:cs="Arial" w:eastAsia="Arial" w:hAnsi="Arial"/>
                <w:sz w:val="8"/>
                <w:szCs w:val="8"/>
                <w:b w:val="1"/>
                <w:bCs w:val="1"/>
                <w:color w:val="auto"/>
              </w:rPr>
              <w:t>22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jc w:val="right"/>
              <w:ind w:right="58"/>
              <w:spacing w:after="0"/>
              <w:rPr>
                <w:sz w:val="20"/>
                <w:szCs w:val="20"/>
                <w:color w:val="auto"/>
              </w:rPr>
            </w:pPr>
            <w:r>
              <w:rPr>
                <w:rFonts w:ascii="Arial" w:cs="Arial" w:eastAsia="Arial" w:hAnsi="Arial"/>
                <w:sz w:val="8"/>
                <w:szCs w:val="8"/>
                <w:b w:val="1"/>
                <w:bCs w:val="1"/>
                <w:color w:val="auto"/>
              </w:rPr>
              <w:t>$</w:t>
            </w:r>
          </w:p>
        </w:tc>
        <w:tc>
          <w:tcPr>
            <w:tcW w:w="620" w:type="dxa"/>
            <w:vAlign w:val="bottom"/>
          </w:tcPr>
          <w:p>
            <w:pPr>
              <w:jc w:val="right"/>
              <w:ind w:right="18"/>
              <w:spacing w:after="0"/>
              <w:rPr>
                <w:sz w:val="20"/>
                <w:szCs w:val="20"/>
                <w:color w:val="auto"/>
              </w:rPr>
            </w:pPr>
            <w:r>
              <w:rPr>
                <w:rFonts w:ascii="Arial" w:cs="Arial" w:eastAsia="Arial" w:hAnsi="Arial"/>
                <w:sz w:val="8"/>
                <w:szCs w:val="8"/>
                <w:b w:val="1"/>
                <w:bCs w:val="1"/>
                <w:color w:val="auto"/>
              </w:rPr>
              <w:t>503,689</w:t>
            </w:r>
          </w:p>
        </w:tc>
        <w:tc>
          <w:tcPr>
            <w:tcW w:w="20" w:type="dxa"/>
            <w:vAlign w:val="bottom"/>
          </w:tcPr>
          <w:p>
            <w:pPr>
              <w:spacing w:after="0"/>
              <w:rPr>
                <w:sz w:val="10"/>
                <w:szCs w:val="10"/>
                <w:color w:val="auto"/>
              </w:rPr>
            </w:pPr>
          </w:p>
        </w:tc>
        <w:tc>
          <w:tcPr>
            <w:tcW w:w="160" w:type="dxa"/>
            <w:vAlign w:val="bottom"/>
            <w:gridSpan w:val="3"/>
          </w:tcPr>
          <w:p>
            <w:pPr>
              <w:jc w:val="right"/>
              <w:spacing w:after="0"/>
              <w:rPr>
                <w:sz w:val="20"/>
                <w:szCs w:val="20"/>
                <w:color w:val="auto"/>
              </w:rPr>
            </w:pPr>
            <w:r>
              <w:rPr>
                <w:rFonts w:ascii="Arial" w:cs="Arial" w:eastAsia="Arial" w:hAnsi="Arial"/>
                <w:sz w:val="8"/>
                <w:szCs w:val="8"/>
                <w:b w:val="1"/>
                <w:bCs w:val="1"/>
                <w:color w:val="auto"/>
              </w:rPr>
              <w:t>$</w:t>
            </w:r>
          </w:p>
        </w:tc>
        <w:tc>
          <w:tcPr>
            <w:tcW w:w="880" w:type="dxa"/>
            <w:vAlign w:val="bottom"/>
          </w:tcPr>
          <w:p>
            <w:pPr>
              <w:jc w:val="right"/>
              <w:spacing w:after="0"/>
              <w:rPr>
                <w:sz w:val="20"/>
                <w:szCs w:val="20"/>
                <w:color w:val="auto"/>
              </w:rPr>
            </w:pPr>
            <w:r>
              <w:rPr>
                <w:rFonts w:ascii="Arial" w:cs="Arial" w:eastAsia="Arial" w:hAnsi="Arial"/>
                <w:sz w:val="8"/>
                <w:szCs w:val="8"/>
                <w:b w:val="1"/>
                <w:bCs w:val="1"/>
                <w:color w:val="auto"/>
              </w:rPr>
              <w:t>(33,051)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1160" w:type="dxa"/>
            <w:vAlign w:val="bottom"/>
          </w:tcPr>
          <w:p>
            <w:pPr>
              <w:jc w:val="right"/>
              <w:spacing w:after="0"/>
              <w:rPr>
                <w:sz w:val="20"/>
                <w:szCs w:val="20"/>
                <w:color w:val="auto"/>
              </w:rPr>
            </w:pPr>
            <w:r>
              <w:rPr>
                <w:rFonts w:ascii="Arial" w:cs="Arial" w:eastAsia="Arial" w:hAnsi="Arial"/>
                <w:sz w:val="8"/>
                <w:szCs w:val="8"/>
                <w:b w:val="1"/>
                <w:bCs w:val="1"/>
                <w:color w:val="auto"/>
              </w:rPr>
              <w:t>(13)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760" w:type="dxa"/>
            <w:vAlign w:val="bottom"/>
          </w:tcPr>
          <w:p>
            <w:pPr>
              <w:jc w:val="right"/>
              <w:ind w:right="18"/>
              <w:spacing w:after="0"/>
              <w:rPr>
                <w:sz w:val="20"/>
                <w:szCs w:val="20"/>
                <w:color w:val="auto"/>
              </w:rPr>
            </w:pPr>
            <w:r>
              <w:rPr>
                <w:rFonts w:ascii="Arial" w:cs="Arial" w:eastAsia="Arial" w:hAnsi="Arial"/>
                <w:sz w:val="8"/>
                <w:szCs w:val="8"/>
                <w:b w:val="1"/>
                <w:bCs w:val="1"/>
                <w:color w:val="auto"/>
              </w:rPr>
              <w:t>894,503</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920" w:type="dxa"/>
            <w:vAlign w:val="bottom"/>
          </w:tcPr>
          <w:p>
            <w:pPr>
              <w:jc w:val="right"/>
              <w:spacing w:after="0"/>
              <w:rPr>
                <w:sz w:val="20"/>
                <w:szCs w:val="20"/>
                <w:color w:val="auto"/>
              </w:rPr>
            </w:pPr>
            <w:r>
              <w:rPr>
                <w:rFonts w:ascii="Arial" w:cs="Arial" w:eastAsia="Arial" w:hAnsi="Arial"/>
                <w:sz w:val="8"/>
                <w:szCs w:val="8"/>
                <w:b w:val="1"/>
                <w:bCs w:val="1"/>
                <w:color w:val="auto"/>
              </w:rPr>
              <w:t>1,365,160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CONDENSED 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unaudited)</w:t>
      </w:r>
    </w:p>
    <w:p>
      <w:pPr>
        <w:spacing w:after="0" w:line="118" w:lineRule="exact"/>
        <w:rPr>
          <w:sz w:val="20"/>
          <w:szCs w:val="20"/>
          <w:color w:val="auto"/>
        </w:rPr>
      </w:pPr>
    </w:p>
    <w:p>
      <w:pPr>
        <w:ind w:left="9540"/>
        <w:spacing w:after="0"/>
        <w:rPr>
          <w:sz w:val="20"/>
          <w:szCs w:val="20"/>
          <w:color w:val="auto"/>
        </w:rPr>
      </w:pPr>
      <w:r>
        <w:rPr>
          <w:rFonts w:ascii="Arial" w:cs="Arial" w:eastAsia="Arial" w:hAnsi="Arial"/>
          <w:sz w:val="11"/>
          <w:szCs w:val="11"/>
          <w:b w:val="1"/>
          <w:bCs w:val="1"/>
          <w:color w:val="auto"/>
        </w:rPr>
        <w:t>Six months ended</w:t>
      </w:r>
    </w:p>
    <w:p>
      <w:pPr>
        <w:ind w:left="9840"/>
        <w:spacing w:after="0"/>
        <w:rPr>
          <w:sz w:val="20"/>
          <w:szCs w:val="20"/>
          <w:color w:val="auto"/>
        </w:rPr>
      </w:pPr>
      <w:r>
        <w:rPr>
          <w:rFonts w:ascii="Arial" w:cs="Arial" w:eastAsia="Arial" w:hAnsi="Arial"/>
          <w:sz w:val="11"/>
          <w:szCs w:val="11"/>
          <w:b w:val="1"/>
          <w:bCs w:val="1"/>
          <w:color w:val="auto"/>
        </w:rPr>
        <w:t>Jun.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80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18"/>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Operating Activities</w:t>
            </w:r>
          </w:p>
        </w:tc>
        <w:tc>
          <w:tcPr>
            <w:tcW w:w="7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800" w:type="dxa"/>
            <w:vAlign w:val="bottom"/>
          </w:tcPr>
          <w:p>
            <w:pPr>
              <w:ind w:left="20"/>
              <w:spacing w:after="0"/>
              <w:rPr>
                <w:sz w:val="20"/>
                <w:szCs w:val="20"/>
                <w:color w:val="auto"/>
              </w:rPr>
            </w:pPr>
            <w:r>
              <w:rPr>
                <w:rFonts w:ascii="Arial" w:cs="Arial" w:eastAsia="Arial" w:hAnsi="Arial"/>
                <w:sz w:val="10"/>
                <w:szCs w:val="10"/>
                <w:color w:val="auto"/>
              </w:rPr>
              <w:t>Net loss</w:t>
            </w: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0"/>
                <w:szCs w:val="10"/>
                <w:color w:val="auto"/>
                <w:w w:val="98"/>
              </w:rPr>
              <w:t>(150,993)</w:t>
            </w:r>
          </w:p>
        </w:tc>
        <w:tc>
          <w:tcPr>
            <w:tcW w:w="80" w:type="dxa"/>
            <w:vAlign w:val="bottom"/>
          </w:tcPr>
          <w:p>
            <w:pPr>
              <w:spacing w:after="0"/>
              <w:rPr>
                <w:sz w:val="11"/>
                <w:szCs w:val="11"/>
                <w:color w:val="auto"/>
              </w:rPr>
            </w:pPr>
          </w:p>
        </w:tc>
        <w:tc>
          <w:tcPr>
            <w:tcW w:w="28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(46,481)</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i w:val="1"/>
                <w:iCs w:val="1"/>
                <w:color w:val="auto"/>
              </w:rPr>
              <w:t>Adjustments to reconcile net income (loss) to net cash provided by (used in) operating activities: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800" w:type="dxa"/>
            <w:vAlign w:val="bottom"/>
          </w:tcPr>
          <w:p>
            <w:pPr>
              <w:ind w:left="180"/>
              <w:spacing w:after="0"/>
              <w:rPr>
                <w:sz w:val="20"/>
                <w:szCs w:val="20"/>
                <w:color w:val="auto"/>
              </w:rPr>
            </w:pPr>
            <w:r>
              <w:rPr>
                <w:rFonts w:ascii="Arial" w:cs="Arial" w:eastAsia="Arial" w:hAnsi="Arial"/>
                <w:sz w:val="10"/>
                <w:szCs w:val="10"/>
                <w:color w:val="auto"/>
              </w:rPr>
              <w:t>Share-based compensation</w:t>
            </w:r>
          </w:p>
        </w:tc>
        <w:tc>
          <w:tcPr>
            <w:tcW w:w="7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17,293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12,711</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Depreciation and amortization</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5,330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4,076</w:t>
            </w:r>
          </w:p>
        </w:tc>
        <w:tc>
          <w:tcPr>
            <w:tcW w:w="0" w:type="dxa"/>
            <w:vAlign w:val="bottom"/>
          </w:tcPr>
          <w:p>
            <w:pPr>
              <w:spacing w:after="0"/>
              <w:rPr>
                <w:sz w:val="1"/>
                <w:szCs w:val="1"/>
                <w:color w:val="auto"/>
              </w:rPr>
            </w:pPr>
          </w:p>
        </w:tc>
      </w:tr>
      <w:tr>
        <w:trPr>
          <w:trHeight w:val="134"/>
        </w:trPr>
        <w:tc>
          <w:tcPr>
            <w:tcW w:w="8800" w:type="dxa"/>
            <w:vAlign w:val="bottom"/>
          </w:tcPr>
          <w:p>
            <w:pPr>
              <w:ind w:left="180"/>
              <w:spacing w:after="0"/>
              <w:rPr>
                <w:sz w:val="20"/>
                <w:szCs w:val="20"/>
                <w:color w:val="auto"/>
              </w:rPr>
            </w:pPr>
            <w:r>
              <w:rPr>
                <w:rFonts w:ascii="Arial" w:cs="Arial" w:eastAsia="Arial" w:hAnsi="Arial"/>
                <w:sz w:val="10"/>
                <w:szCs w:val="10"/>
                <w:color w:val="auto"/>
              </w:rPr>
              <w:t>Amortization of intangible assets</w:t>
            </w:r>
          </w:p>
        </w:tc>
        <w:tc>
          <w:tcPr>
            <w:tcW w:w="7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47,029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47,029</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Amortization of debt discount and issuance costs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1,262</w:t>
            </w:r>
          </w:p>
        </w:tc>
        <w:tc>
          <w:tcPr>
            <w:tcW w:w="0" w:type="dxa"/>
            <w:vAlign w:val="bottom"/>
          </w:tcPr>
          <w:p>
            <w:pPr>
              <w:spacing w:after="0"/>
              <w:rPr>
                <w:sz w:val="1"/>
                <w:szCs w:val="1"/>
                <w:color w:val="auto"/>
              </w:rPr>
            </w:pPr>
          </w:p>
        </w:tc>
      </w:tr>
      <w:tr>
        <w:trPr>
          <w:trHeight w:val="134"/>
        </w:trPr>
        <w:tc>
          <w:tcPr>
            <w:tcW w:w="8800" w:type="dxa"/>
            <w:vAlign w:val="bottom"/>
          </w:tcPr>
          <w:p>
            <w:pPr>
              <w:ind w:left="180"/>
              <w:spacing w:after="0"/>
              <w:rPr>
                <w:sz w:val="20"/>
                <w:szCs w:val="20"/>
                <w:color w:val="auto"/>
              </w:rPr>
            </w:pPr>
            <w:r>
              <w:rPr>
                <w:rFonts w:ascii="Arial" w:cs="Arial" w:eastAsia="Arial" w:hAnsi="Arial"/>
                <w:sz w:val="10"/>
                <w:szCs w:val="10"/>
                <w:color w:val="auto"/>
              </w:rPr>
              <w:t>Loss on extinguishment of debt</w:t>
            </w:r>
          </w:p>
        </w:tc>
        <w:tc>
          <w:tcPr>
            <w:tcW w:w="74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11,935</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lease impairment charges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24,995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8800" w:type="dxa"/>
            <w:vAlign w:val="bottom"/>
          </w:tcPr>
          <w:p>
            <w:pPr>
              <w:ind w:left="180"/>
              <w:spacing w:after="0"/>
              <w:rPr>
                <w:sz w:val="20"/>
                <w:szCs w:val="20"/>
                <w:color w:val="auto"/>
              </w:rPr>
            </w:pPr>
            <w:r>
              <w:rPr>
                <w:rFonts w:ascii="Arial" w:cs="Arial" w:eastAsia="Arial" w:hAnsi="Arial"/>
                <w:sz w:val="10"/>
                <w:szCs w:val="10"/>
                <w:color w:val="auto"/>
              </w:rPr>
              <w:t>Non-cash lease expense</w:t>
            </w:r>
          </w:p>
        </w:tc>
        <w:tc>
          <w:tcPr>
            <w:tcW w:w="7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2,862</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2,451</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Other non-cash items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(846)</w:t>
            </w:r>
          </w:p>
        </w:tc>
        <w:tc>
          <w:tcPr>
            <w:tcW w:w="0" w:type="dxa"/>
            <w:vAlign w:val="bottom"/>
          </w:tcPr>
          <w:p>
            <w:pPr>
              <w:spacing w:after="0"/>
              <w:rPr>
                <w:sz w:val="1"/>
                <w:szCs w:val="1"/>
                <w:color w:val="auto"/>
              </w:rPr>
            </w:pPr>
          </w:p>
        </w:tc>
      </w:tr>
      <w:tr>
        <w:trPr>
          <w:trHeight w:val="134"/>
        </w:trPr>
        <w:tc>
          <w:tcPr>
            <w:tcW w:w="8800" w:type="dxa"/>
            <w:vAlign w:val="bottom"/>
          </w:tcPr>
          <w:p>
            <w:pPr>
              <w:ind w:left="180"/>
              <w:spacing w:after="0"/>
              <w:rPr>
                <w:sz w:val="20"/>
                <w:szCs w:val="20"/>
                <w:color w:val="auto"/>
              </w:rPr>
            </w:pPr>
            <w:r>
              <w:rPr>
                <w:rFonts w:ascii="Arial" w:cs="Arial" w:eastAsia="Arial" w:hAnsi="Arial"/>
                <w:sz w:val="10"/>
                <w:szCs w:val="10"/>
                <w:i w:val="1"/>
                <w:iCs w:val="1"/>
                <w:color w:val="auto"/>
              </w:rPr>
              <w:t>Changes in assets and liabilities:</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Accounts receivable</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(21,119)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(2,702)</w:t>
            </w:r>
          </w:p>
        </w:tc>
        <w:tc>
          <w:tcPr>
            <w:tcW w:w="0" w:type="dxa"/>
            <w:vAlign w:val="bottom"/>
          </w:tcPr>
          <w:p>
            <w:pPr>
              <w:spacing w:after="0"/>
              <w:rPr>
                <w:sz w:val="1"/>
                <w:szCs w:val="1"/>
                <w:color w:val="auto"/>
              </w:rPr>
            </w:pPr>
          </w:p>
        </w:tc>
      </w:tr>
      <w:tr>
        <w:trPr>
          <w:trHeight w:val="134"/>
        </w:trPr>
        <w:tc>
          <w:tcPr>
            <w:tcW w:w="8800" w:type="dxa"/>
            <w:vAlign w:val="bottom"/>
          </w:tcPr>
          <w:p>
            <w:pPr>
              <w:ind w:left="360"/>
              <w:spacing w:after="0"/>
              <w:rPr>
                <w:sz w:val="20"/>
                <w:szCs w:val="20"/>
                <w:color w:val="auto"/>
              </w:rPr>
            </w:pPr>
            <w:r>
              <w:rPr>
                <w:rFonts w:ascii="Arial" w:cs="Arial" w:eastAsia="Arial" w:hAnsi="Arial"/>
                <w:sz w:val="10"/>
                <w:szCs w:val="10"/>
                <w:color w:val="auto"/>
              </w:rPr>
              <w:t>Commissions receivable</w:t>
            </w:r>
          </w:p>
        </w:tc>
        <w:tc>
          <w:tcPr>
            <w:tcW w:w="7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101,928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(63,675)</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Prepaid expenses and other assets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39,795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(11,778)</w:t>
            </w:r>
          </w:p>
        </w:tc>
        <w:tc>
          <w:tcPr>
            <w:tcW w:w="0" w:type="dxa"/>
            <w:vAlign w:val="bottom"/>
          </w:tcPr>
          <w:p>
            <w:pPr>
              <w:spacing w:after="0"/>
              <w:rPr>
                <w:sz w:val="1"/>
                <w:szCs w:val="1"/>
                <w:color w:val="auto"/>
              </w:rPr>
            </w:pPr>
          </w:p>
        </w:tc>
      </w:tr>
      <w:tr>
        <w:trPr>
          <w:trHeight w:val="134"/>
        </w:trPr>
        <w:tc>
          <w:tcPr>
            <w:tcW w:w="8800" w:type="dxa"/>
            <w:vAlign w:val="bottom"/>
          </w:tcPr>
          <w:p>
            <w:pPr>
              <w:ind w:left="360"/>
              <w:spacing w:after="0"/>
              <w:rPr>
                <w:sz w:val="20"/>
                <w:szCs w:val="20"/>
                <w:color w:val="auto"/>
              </w:rPr>
            </w:pPr>
            <w:r>
              <w:rPr>
                <w:rFonts w:ascii="Arial" w:cs="Arial" w:eastAsia="Arial" w:hAnsi="Arial"/>
                <w:sz w:val="10"/>
                <w:szCs w:val="10"/>
                <w:color w:val="auto"/>
              </w:rPr>
              <w:t>Accounts payable</w:t>
            </w:r>
          </w:p>
        </w:tc>
        <w:tc>
          <w:tcPr>
            <w:tcW w:w="7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(25,885)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6,114</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Accrued liabilities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(19,898)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3,993</w:t>
            </w:r>
          </w:p>
        </w:tc>
        <w:tc>
          <w:tcPr>
            <w:tcW w:w="0" w:type="dxa"/>
            <w:vAlign w:val="bottom"/>
          </w:tcPr>
          <w:p>
            <w:pPr>
              <w:spacing w:after="0"/>
              <w:rPr>
                <w:sz w:val="1"/>
                <w:szCs w:val="1"/>
                <w:color w:val="auto"/>
              </w:rPr>
            </w:pPr>
          </w:p>
        </w:tc>
      </w:tr>
      <w:tr>
        <w:trPr>
          <w:trHeight w:val="134"/>
        </w:trPr>
        <w:tc>
          <w:tcPr>
            <w:tcW w:w="8800" w:type="dxa"/>
            <w:vAlign w:val="bottom"/>
          </w:tcPr>
          <w:p>
            <w:pPr>
              <w:ind w:left="360"/>
              <w:spacing w:after="0"/>
              <w:rPr>
                <w:sz w:val="20"/>
                <w:szCs w:val="20"/>
                <w:color w:val="auto"/>
              </w:rPr>
            </w:pPr>
            <w:r>
              <w:rPr>
                <w:rFonts w:ascii="Arial" w:cs="Arial" w:eastAsia="Arial" w:hAnsi="Arial"/>
                <w:sz w:val="10"/>
                <w:szCs w:val="10"/>
                <w:color w:val="auto"/>
              </w:rPr>
              <w:t>Deferred revenue</w:t>
            </w:r>
          </w:p>
        </w:tc>
        <w:tc>
          <w:tcPr>
            <w:tcW w:w="7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2,155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Commissions payable</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(26,279)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4,742</w:t>
            </w:r>
          </w:p>
        </w:tc>
        <w:tc>
          <w:tcPr>
            <w:tcW w:w="0" w:type="dxa"/>
            <w:vAlign w:val="bottom"/>
          </w:tcPr>
          <w:p>
            <w:pPr>
              <w:spacing w:after="0"/>
              <w:rPr>
                <w:sz w:val="1"/>
                <w:szCs w:val="1"/>
                <w:color w:val="auto"/>
              </w:rPr>
            </w:pPr>
          </w:p>
        </w:tc>
      </w:tr>
      <w:tr>
        <w:trPr>
          <w:trHeight w:val="134"/>
        </w:trPr>
        <w:tc>
          <w:tcPr>
            <w:tcW w:w="8800" w:type="dxa"/>
            <w:vAlign w:val="bottom"/>
          </w:tcPr>
          <w:p>
            <w:pPr>
              <w:ind w:left="360"/>
              <w:spacing w:after="0"/>
              <w:rPr>
                <w:sz w:val="20"/>
                <w:szCs w:val="20"/>
                <w:color w:val="auto"/>
              </w:rPr>
            </w:pPr>
            <w:r>
              <w:rPr>
                <w:rFonts w:ascii="Arial" w:cs="Arial" w:eastAsia="Arial" w:hAnsi="Arial"/>
                <w:sz w:val="10"/>
                <w:szCs w:val="10"/>
                <w:color w:val="auto"/>
              </w:rPr>
              <w:t>Operating lease liabilities</w:t>
            </w:r>
          </w:p>
        </w:tc>
        <w:tc>
          <w:tcPr>
            <w:tcW w:w="7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(2,993)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(2,406)</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Other liabilities</w:t>
            </w:r>
          </w:p>
        </w:tc>
        <w:tc>
          <w:tcPr>
            <w:tcW w:w="7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10,747</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1,361</w:t>
            </w:r>
          </w:p>
        </w:tc>
        <w:tc>
          <w:tcPr>
            <w:tcW w:w="0" w:type="dxa"/>
            <w:vAlign w:val="bottom"/>
          </w:tcPr>
          <w:p>
            <w:pPr>
              <w:spacing w:after="0"/>
              <w:rPr>
                <w:sz w:val="1"/>
                <w:szCs w:val="1"/>
                <w:color w:val="auto"/>
              </w:rPr>
            </w:pPr>
          </w:p>
        </w:tc>
      </w:tr>
      <w:tr>
        <w:trPr>
          <w:trHeight w:val="12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Net cash provided by (used in) operating activities</w:t>
            </w:r>
          </w:p>
        </w:tc>
        <w:tc>
          <w:tcPr>
            <w:tcW w:w="7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6,377</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(32,250)</w:t>
            </w:r>
          </w:p>
        </w:tc>
        <w:tc>
          <w:tcPr>
            <w:tcW w:w="0" w:type="dxa"/>
            <w:vAlign w:val="bottom"/>
          </w:tcPr>
          <w:p>
            <w:pPr>
              <w:spacing w:after="0"/>
              <w:rPr>
                <w:sz w:val="1"/>
                <w:szCs w:val="1"/>
                <w:color w:val="auto"/>
              </w:rPr>
            </w:pPr>
          </w:p>
        </w:tc>
      </w:tr>
      <w:tr>
        <w:trPr>
          <w:trHeight w:val="122"/>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Investing Activities</w:t>
            </w:r>
          </w:p>
        </w:tc>
        <w:tc>
          <w:tcPr>
            <w:tcW w:w="7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Purchases of property, equipment and software</w:t>
            </w:r>
          </w:p>
        </w:tc>
        <w:tc>
          <w:tcPr>
            <w:tcW w:w="7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(9,658)</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(7,909)</w:t>
            </w:r>
          </w:p>
        </w:tc>
        <w:tc>
          <w:tcPr>
            <w:tcW w:w="0" w:type="dxa"/>
            <w:vAlign w:val="bottom"/>
          </w:tcPr>
          <w:p>
            <w:pPr>
              <w:spacing w:after="0"/>
              <w:rPr>
                <w:sz w:val="1"/>
                <w:szCs w:val="1"/>
                <w:color w:val="auto"/>
              </w:rPr>
            </w:pPr>
          </w:p>
        </w:tc>
      </w:tr>
      <w:tr>
        <w:trPr>
          <w:trHeight w:val="133"/>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cash used in investing activities</w:t>
            </w:r>
          </w:p>
        </w:tc>
        <w:tc>
          <w:tcPr>
            <w:tcW w:w="7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(9,658)</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(7,909)</w:t>
            </w:r>
          </w:p>
        </w:tc>
        <w:tc>
          <w:tcPr>
            <w:tcW w:w="0" w:type="dxa"/>
            <w:vAlign w:val="bottom"/>
          </w:tcPr>
          <w:p>
            <w:pPr>
              <w:spacing w:after="0"/>
              <w:rPr>
                <w:sz w:val="1"/>
                <w:szCs w:val="1"/>
                <w:color w:val="auto"/>
              </w:rPr>
            </w:pPr>
          </w:p>
        </w:tc>
      </w:tr>
      <w:tr>
        <w:trPr>
          <w:trHeight w:val="117"/>
        </w:trPr>
        <w:tc>
          <w:tcPr>
            <w:tcW w:w="8800" w:type="dxa"/>
            <w:vAlign w:val="bottom"/>
          </w:tcPr>
          <w:p>
            <w:pPr>
              <w:ind w:left="20"/>
              <w:spacing w:after="0"/>
              <w:rPr>
                <w:sz w:val="20"/>
                <w:szCs w:val="20"/>
                <w:color w:val="auto"/>
              </w:rPr>
            </w:pPr>
            <w:r>
              <w:rPr>
                <w:rFonts w:ascii="Arial" w:cs="Arial" w:eastAsia="Arial" w:hAnsi="Arial"/>
                <w:sz w:val="10"/>
                <w:szCs w:val="10"/>
                <w:b w:val="1"/>
                <w:bCs w:val="1"/>
                <w:color w:val="auto"/>
              </w:rPr>
              <w:t>Financing Activities</w:t>
            </w: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Proceeds from borrowings</w:t>
            </w: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310,000</w:t>
            </w:r>
          </w:p>
        </w:tc>
        <w:tc>
          <w:tcPr>
            <w:tcW w:w="0" w:type="dxa"/>
            <w:vAlign w:val="bottom"/>
          </w:tcPr>
          <w:p>
            <w:pPr>
              <w:spacing w:after="0"/>
              <w:rPr>
                <w:sz w:val="1"/>
                <w:szCs w:val="1"/>
                <w:color w:val="auto"/>
              </w:rPr>
            </w:pPr>
          </w:p>
        </w:tc>
      </w:tr>
      <w:tr>
        <w:trPr>
          <w:trHeight w:val="134"/>
        </w:trPr>
        <w:tc>
          <w:tcPr>
            <w:tcW w:w="8800" w:type="dxa"/>
            <w:vAlign w:val="bottom"/>
          </w:tcPr>
          <w:p>
            <w:pPr>
              <w:ind w:left="20"/>
              <w:spacing w:after="0"/>
              <w:rPr>
                <w:sz w:val="20"/>
                <w:szCs w:val="20"/>
                <w:color w:val="auto"/>
              </w:rPr>
            </w:pPr>
            <w:r>
              <w:rPr>
                <w:rFonts w:ascii="Arial" w:cs="Arial" w:eastAsia="Arial" w:hAnsi="Arial"/>
                <w:sz w:val="10"/>
                <w:szCs w:val="10"/>
                <w:color w:val="auto"/>
              </w:rPr>
              <w:t>Repayment of borrowings</w:t>
            </w:r>
          </w:p>
        </w:tc>
        <w:tc>
          <w:tcPr>
            <w:tcW w:w="7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(2,635)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(296,835)</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Call premium paid for debt extinguishment</w:t>
            </w: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(5,910)</w:t>
            </w:r>
          </w:p>
        </w:tc>
        <w:tc>
          <w:tcPr>
            <w:tcW w:w="0" w:type="dxa"/>
            <w:vAlign w:val="bottom"/>
          </w:tcPr>
          <w:p>
            <w:pPr>
              <w:spacing w:after="0"/>
              <w:rPr>
                <w:sz w:val="1"/>
                <w:szCs w:val="1"/>
                <w:color w:val="auto"/>
              </w:rPr>
            </w:pPr>
          </w:p>
        </w:tc>
      </w:tr>
      <w:tr>
        <w:trPr>
          <w:trHeight w:val="134"/>
        </w:trPr>
        <w:tc>
          <w:tcPr>
            <w:tcW w:w="8800" w:type="dxa"/>
            <w:vAlign w:val="bottom"/>
          </w:tcPr>
          <w:p>
            <w:pPr>
              <w:ind w:left="20"/>
              <w:spacing w:after="0"/>
              <w:rPr>
                <w:sz w:val="20"/>
                <w:szCs w:val="20"/>
                <w:color w:val="auto"/>
              </w:rPr>
            </w:pPr>
            <w:r>
              <w:rPr>
                <w:rFonts w:ascii="Arial" w:cs="Arial" w:eastAsia="Arial" w:hAnsi="Arial"/>
                <w:sz w:val="10"/>
                <w:szCs w:val="10"/>
                <w:color w:val="auto"/>
              </w:rPr>
              <w:t>Debt issuance cost payments</w:t>
            </w:r>
          </w:p>
        </w:tc>
        <w:tc>
          <w:tcPr>
            <w:tcW w:w="7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(1,725)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(1,608)</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Principal payments under finance lease obligations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w:t>
            </w:r>
          </w:p>
        </w:tc>
        <w:tc>
          <w:tcPr>
            <w:tcW w:w="0" w:type="dxa"/>
            <w:vAlign w:val="bottom"/>
          </w:tcPr>
          <w:p>
            <w:pPr>
              <w:spacing w:after="0"/>
              <w:rPr>
                <w:sz w:val="1"/>
                <w:szCs w:val="1"/>
                <w:color w:val="auto"/>
              </w:rPr>
            </w:pPr>
          </w:p>
        </w:tc>
      </w:tr>
      <w:tr>
        <w:trPr>
          <w:trHeight w:val="134"/>
        </w:trPr>
        <w:tc>
          <w:tcPr>
            <w:tcW w:w="8800" w:type="dxa"/>
            <w:vAlign w:val="bottom"/>
          </w:tcPr>
          <w:p>
            <w:pPr>
              <w:ind w:left="20"/>
              <w:spacing w:after="0"/>
              <w:rPr>
                <w:sz w:val="20"/>
                <w:szCs w:val="20"/>
                <w:color w:val="auto"/>
              </w:rPr>
            </w:pPr>
            <w:r>
              <w:rPr>
                <w:rFonts w:ascii="Arial" w:cs="Arial" w:eastAsia="Arial" w:hAnsi="Arial"/>
                <w:sz w:val="10"/>
                <w:szCs w:val="10"/>
                <w:color w:val="auto"/>
              </w:rPr>
              <w:t>Cash received on advancement to NVX Holdings, Inc.</w:t>
            </w:r>
          </w:p>
        </w:tc>
        <w:tc>
          <w:tcPr>
            <w:tcW w:w="74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3,395</w:t>
            </w:r>
          </w:p>
        </w:tc>
        <w:tc>
          <w:tcPr>
            <w:tcW w:w="0" w:type="dxa"/>
            <w:vAlign w:val="bottom"/>
          </w:tcPr>
          <w:p>
            <w:pPr>
              <w:spacing w:after="0"/>
              <w:rPr>
                <w:sz w:val="1"/>
                <w:szCs w:val="1"/>
                <w:color w:val="auto"/>
              </w:rPr>
            </w:pPr>
          </w:p>
        </w:tc>
      </w:tr>
      <w:tr>
        <w:trPr>
          <w:trHeight w:val="133"/>
        </w:trPr>
        <w:tc>
          <w:tcPr>
            <w:tcW w:w="8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cash (used in) provided by financing activities</w:t>
            </w:r>
          </w:p>
        </w:tc>
        <w:tc>
          <w:tcPr>
            <w:tcW w:w="7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(4,463)</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8,888</w:t>
            </w:r>
          </w:p>
        </w:tc>
        <w:tc>
          <w:tcPr>
            <w:tcW w:w="0" w:type="dxa"/>
            <w:vAlign w:val="bottom"/>
          </w:tcPr>
          <w:p>
            <w:pPr>
              <w:spacing w:after="0"/>
              <w:rPr>
                <w:sz w:val="1"/>
                <w:szCs w:val="1"/>
                <w:color w:val="auto"/>
              </w:rPr>
            </w:pPr>
          </w:p>
        </w:tc>
      </w:tr>
      <w:tr>
        <w:trPr>
          <w:trHeight w:val="12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Effect of exchange rate changes on cash and cash equivalents</w:t>
            </w:r>
          </w:p>
        </w:tc>
        <w:tc>
          <w:tcPr>
            <w:tcW w:w="7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(461)</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33"/>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Increase (decrease) in cash and cash equivalents</w:t>
            </w:r>
          </w:p>
        </w:tc>
        <w:tc>
          <w:tcPr>
            <w:tcW w:w="7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(8,205)</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(31,371)</w:t>
            </w:r>
          </w:p>
        </w:tc>
        <w:tc>
          <w:tcPr>
            <w:tcW w:w="0" w:type="dxa"/>
            <w:vAlign w:val="bottom"/>
          </w:tcPr>
          <w:p>
            <w:pPr>
              <w:spacing w:after="0"/>
              <w:rPr>
                <w:sz w:val="1"/>
                <w:szCs w:val="1"/>
                <w:color w:val="auto"/>
              </w:rPr>
            </w:pPr>
          </w:p>
        </w:tc>
      </w:tr>
      <w:tr>
        <w:trPr>
          <w:trHeight w:val="12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Cash and cash equivalents at beginning of period</w:t>
            </w:r>
          </w:p>
        </w:tc>
        <w:tc>
          <w:tcPr>
            <w:tcW w:w="7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84,361</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144,234</w:t>
            </w:r>
          </w:p>
        </w:tc>
        <w:tc>
          <w:tcPr>
            <w:tcW w:w="0" w:type="dxa"/>
            <w:vAlign w:val="bottom"/>
          </w:tcPr>
          <w:p>
            <w:pPr>
              <w:spacing w:after="0"/>
              <w:rPr>
                <w:sz w:val="1"/>
                <w:szCs w:val="1"/>
                <w:color w:val="auto"/>
              </w:rPr>
            </w:pPr>
          </w:p>
        </w:tc>
      </w:tr>
      <w:tr>
        <w:trPr>
          <w:trHeight w:val="15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Cash and cash equivalents at end of period</w:t>
            </w:r>
          </w:p>
        </w:tc>
        <w:tc>
          <w:tcPr>
            <w:tcW w:w="740" w:type="dxa"/>
            <w:vAlign w:val="bottom"/>
            <w:tcBorders>
              <w:bottom w:val="single" w:sz="8" w:color="auto"/>
            </w:tcBorders>
            <w:shd w:val="clear" w:color="auto" w:fill="CCEEFF"/>
          </w:tcPr>
          <w:p>
            <w:pPr>
              <w:jc w:val="right"/>
              <w:ind w:right="629"/>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76,156</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112,863</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0"/>
                <w:szCs w:val="10"/>
                <w:b w:val="1"/>
                <w:bCs w:val="1"/>
                <w:color w:val="auto"/>
              </w:rPr>
              <w:t>Supplemental Disclosure of Cash Flow Information</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88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i w:val="1"/>
                <w:iCs w:val="1"/>
                <w:color w:val="auto"/>
              </w:rPr>
              <w:t>Non-cash investing and financing activities: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800" w:type="dxa"/>
            <w:vAlign w:val="bottom"/>
          </w:tcPr>
          <w:p>
            <w:pPr>
              <w:ind w:left="180"/>
              <w:spacing w:after="0"/>
              <w:rPr>
                <w:sz w:val="20"/>
                <w:szCs w:val="20"/>
                <w:color w:val="auto"/>
              </w:rPr>
            </w:pPr>
            <w:r>
              <w:rPr>
                <w:rFonts w:ascii="Arial" w:cs="Arial" w:eastAsia="Arial" w:hAnsi="Arial"/>
                <w:sz w:val="10"/>
                <w:szCs w:val="10"/>
                <w:color w:val="auto"/>
              </w:rPr>
              <w:t>Purchases of property, equipment and software included in accounts payable</w:t>
            </w: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683</w:t>
            </w:r>
          </w:p>
        </w:tc>
        <w:tc>
          <w:tcPr>
            <w:tcW w:w="80" w:type="dxa"/>
            <w:vAlign w:val="bottom"/>
          </w:tcPr>
          <w:p>
            <w:pPr>
              <w:spacing w:after="0"/>
              <w:rPr>
                <w:sz w:val="11"/>
                <w:szCs w:val="11"/>
                <w:color w:val="auto"/>
              </w:rPr>
            </w:pPr>
          </w:p>
        </w:tc>
        <w:tc>
          <w:tcPr>
            <w:tcW w:w="28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2,233</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9</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except per share amounts, unaudited)</w:t>
      </w:r>
    </w:p>
    <w:p>
      <w:pPr>
        <w:spacing w:after="0" w:line="167" w:lineRule="exact"/>
        <w:rPr>
          <w:sz w:val="20"/>
          <w:szCs w:val="20"/>
          <w:color w:val="auto"/>
        </w:rPr>
      </w:pPr>
    </w:p>
    <w:p>
      <w:pPr>
        <w:ind w:right="6680" w:firstLine="5"/>
        <w:spacing w:after="0" w:line="519" w:lineRule="auto"/>
        <w:tabs>
          <w:tab w:leader="none" w:pos="142" w:val="left"/>
        </w:tabs>
        <w:numPr>
          <w:ilvl w:val="0"/>
          <w:numId w:val="7"/>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DESCRIPTION OF BUSINESS AND SIGNIFICANT ACCOUNTING POLICIES </w:t>
      </w:r>
      <w:r>
        <w:rPr>
          <w:rFonts w:ascii="Arial" w:cs="Arial" w:eastAsia="Arial" w:hAnsi="Arial"/>
          <w:sz w:val="13"/>
          <w:szCs w:val="13"/>
          <w:b w:val="1"/>
          <w:bCs w:val="1"/>
          <w:color w:val="000000"/>
        </w:rPr>
        <w:t>Description of Business</w:t>
      </w:r>
    </w:p>
    <w:p>
      <w:pPr>
        <w:spacing w:after="0" w:line="1" w:lineRule="exact"/>
        <w:rPr>
          <w:sz w:val="20"/>
          <w:szCs w:val="20"/>
          <w:color w:val="auto"/>
        </w:rPr>
      </w:pPr>
    </w:p>
    <w:p>
      <w:pPr>
        <w:ind w:right="180"/>
        <w:spacing w:after="0" w:line="254" w:lineRule="auto"/>
        <w:rPr>
          <w:sz w:val="20"/>
          <w:szCs w:val="20"/>
          <w:color w:val="auto"/>
        </w:rPr>
      </w:pPr>
      <w:r>
        <w:rPr>
          <w:rFonts w:ascii="Arial" w:cs="Arial" w:eastAsia="Arial" w:hAnsi="Arial"/>
          <w:sz w:val="13"/>
          <w:szCs w:val="13"/>
          <w:color w:val="auto"/>
        </w:rPr>
        <w:t>GoHealth, Inc. (the “Company”) is a leading health insurance marketplace and Medicare-focused digital health company whose mission is to improve access to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143"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The Company was incorporated in Delaware on March 27, 2020 for the purpose of facilitating the Company’s initial public offering (the “IPO”) and other related transactions in order to carry on the business of GoHealth Holdings, LLC (formerly known as Blizzard Parent, LLC), a Delaware limited liability company, and its wholly owned subsidiaries (collectively, "GHH, LLC"). Following the IPO and 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 and Significant Accounting Policies</w:t>
      </w:r>
    </w:p>
    <w:p>
      <w:pPr>
        <w:spacing w:after="0" w:line="179" w:lineRule="exact"/>
        <w:rPr>
          <w:sz w:val="20"/>
          <w:szCs w:val="20"/>
          <w:color w:val="auto"/>
        </w:rPr>
      </w:pPr>
    </w:p>
    <w:p>
      <w:pPr>
        <w:ind w:right="160"/>
        <w:spacing w:after="0" w:line="250" w:lineRule="auto"/>
        <w:rPr>
          <w:sz w:val="20"/>
          <w:szCs w:val="20"/>
          <w:color w:val="auto"/>
        </w:rPr>
      </w:pPr>
      <w:r>
        <w:rPr>
          <w:rFonts w:ascii="Arial" w:cs="Arial" w:eastAsia="Arial" w:hAnsi="Arial"/>
          <w:sz w:val="13"/>
          <w:szCs w:val="13"/>
          <w:color w:val="auto"/>
        </w:rPr>
        <w:t>In connection with the IPO (as defined below), the Company became the sole managing member of GHH, LLC and controls the management of GHH, LLC. As a result, the Company consolidates GHH, LLC’s financial results in its Condensed Consolidated Financial Statements and reports a non-controlling interest for the economic interest in GHH, LLC held by the Continuing Equity Owners. Substantially concurrently with the consummation of the IPO, the existing limited liability company agreement of GHH, LLC was amended and restated to, among other things, recapitalize its capital structure by creating a single new class of units (the “common units”) and provide for a right of redemption of common units (subject in certain circumstances to time-based vesting requirements and certain other restrictions) in exchange for, at the Company’s election, cash or newly-issued shares of Class A common stock on a one-for-one basis. In connection with any redemption, the Company will receive a corresponding number of common units, increasing the Company’s total ownership interest in GHH, LLC.</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Net income and loss is allocated to the Continuing Equity Owners on a pro-rata basis, assuming that any Class B common units that are subject to time-based vesting requirements are fully vested.</w:t>
      </w:r>
    </w:p>
    <w:p>
      <w:pPr>
        <w:spacing w:after="0" w:line="179" w:lineRule="exact"/>
        <w:rPr>
          <w:sz w:val="20"/>
          <w:szCs w:val="20"/>
          <w:color w:val="auto"/>
        </w:rPr>
      </w:pPr>
    </w:p>
    <w:p>
      <w:pPr>
        <w:ind w:right="180"/>
        <w:spacing w:after="0" w:line="252" w:lineRule="auto"/>
        <w:rPr>
          <w:sz w:val="20"/>
          <w:szCs w:val="20"/>
          <w:color w:val="auto"/>
        </w:rPr>
      </w:pPr>
      <w:r>
        <w:rPr>
          <w:rFonts w:ascii="Arial" w:cs="Arial" w:eastAsia="Arial" w:hAnsi="Arial"/>
          <w:sz w:val="13"/>
          <w:szCs w:val="13"/>
          <w:color w:val="auto"/>
        </w:rPr>
        <w:t>GHH, LLC is a holding company with no operating assets or operations and was formed to acquire a 100% equity interest in Norvax. On May 6, 2020, Blizzard Parent, LLC changed its name to “GoHealth Holdings, LLC”. GHH, LLC owns 100% of Blizzard Midco, LLC, which owns 100% of Norvax. For all of the periods reported in these Condensed Consolidated Financial Statements, GHH, LLC has not and does not have any material operations on a standalone basis, and all of the operations of GHH, LLC are carried out by Norvax.</w:t>
      </w:r>
    </w:p>
    <w:p>
      <w:pPr>
        <w:spacing w:after="0" w:line="155"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 xml:space="preserve">The accompanying Condensed Consolidated Financial Statements have been prepared in accordance with U.S. generally accepted accounting principles (“GAAP”) for interim financial information, but do not include all information and footnote disclosures required under GAAP for annual financial statements.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 Certain prior period amounts have been reclassified to conform with the current period presentation. Effective on December 31, 2021, we lost our emerging growth company ("EGC") status, which accelerated the adoption of Accounting Standards Update (“ASU”) 2016-02,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and ASU 2019-11, Financial Instruments – </w:t>
      </w:r>
      <w:r>
        <w:rPr>
          <w:rFonts w:ascii="Arial" w:cs="Arial" w:eastAsia="Arial" w:hAnsi="Arial"/>
          <w:sz w:val="13"/>
          <w:szCs w:val="13"/>
          <w:i w:val="1"/>
          <w:iCs w:val="1"/>
          <w:color w:val="auto"/>
        </w:rPr>
        <w:t>Credit Losses</w:t>
      </w:r>
      <w:r>
        <w:rPr>
          <w:rFonts w:ascii="Arial" w:cs="Arial" w:eastAsia="Arial" w:hAnsi="Arial"/>
          <w:sz w:val="13"/>
          <w:szCs w:val="13"/>
          <w:color w:val="auto"/>
        </w:rPr>
        <w:t>. As a result, we recast our previously reported consolidated financial statements effective January 1, 2021 to reflect the adoption of these standards.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169"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The preparation of the Condensed Consolidated Financial Statements in conformity with GAAP requires management to make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10</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3" w:name="page14"/>
    <w:bookmarkEnd w:id="13"/>
    <w:p>
      <w:pPr>
        <w:ind w:right="160"/>
        <w:spacing w:after="0" w:line="266" w:lineRule="auto"/>
        <w:rPr>
          <w:sz w:val="20"/>
          <w:szCs w:val="20"/>
          <w:color w:val="auto"/>
        </w:rPr>
      </w:pPr>
      <w:r>
        <w:rPr>
          <w:rFonts w:ascii="Arial" w:cs="Arial" w:eastAsia="Arial" w:hAnsi="Arial"/>
          <w:sz w:val="13"/>
          <w:szCs w:val="13"/>
          <w:color w:val="auto"/>
        </w:rPr>
        <w:t>and liabilities that are not readily apparent from other sources. Actual results could differ from those estimates. There have been no material changes to the Company’s significant accounting policies as discussed in the notes to the Company’s audited consolidated financial statements as of and for the year ended December 31, 2021.</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69" w:lineRule="exact"/>
        <w:rPr>
          <w:sz w:val="20"/>
          <w:szCs w:val="20"/>
          <w:color w:val="auto"/>
        </w:rPr>
      </w:pPr>
    </w:p>
    <w:p>
      <w:pPr>
        <w:jc w:val="both"/>
        <w:ind w:right="20"/>
        <w:spacing w:after="0" w:line="261" w:lineRule="auto"/>
        <w:rPr>
          <w:sz w:val="20"/>
          <w:szCs w:val="20"/>
          <w:color w:val="auto"/>
        </w:rPr>
      </w:pPr>
      <w:r>
        <w:rPr>
          <w:rFonts w:ascii="Arial" w:cs="Arial" w:eastAsia="Arial" w:hAnsi="Arial"/>
          <w:sz w:val="13"/>
          <w:szCs w:val="13"/>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typically highest in the Company’s fourth quarter.</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3"/>
          <w:szCs w:val="13"/>
          <w:color w:val="auto"/>
        </w:rPr>
        <w:t>The majority of the Company’s individual and family health insurance plans are sold in its fourth quarter during the annual open enrollment period as defined under the federal Patient Protection and ACA and related amendments in the Health Care and Education Reconciliation Act. Individuals and families generally are not able to purchase individual and family health insurance outside of the open enrollment period, unless they qualify for a special enrollment period as a result of certain qualifying events, such as losing employer-sponsored health insurance or moving to another state. As a result, the Company’s individual and family plan-related commission revenue is typically highest in the Company’s fourth quarter.</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Recently Adopted Accounting Pronouncements</w:t>
      </w:r>
    </w:p>
    <w:p>
      <w:pPr>
        <w:spacing w:after="0" w:line="177" w:lineRule="exact"/>
        <w:rPr>
          <w:sz w:val="20"/>
          <w:szCs w:val="20"/>
          <w:color w:val="auto"/>
        </w:rPr>
      </w:pPr>
    </w:p>
    <w:p>
      <w:pPr>
        <w:ind w:right="60"/>
        <w:spacing w:after="0" w:line="270" w:lineRule="auto"/>
        <w:rPr>
          <w:sz w:val="20"/>
          <w:szCs w:val="20"/>
          <w:color w:val="auto"/>
        </w:rPr>
      </w:pPr>
      <w:r>
        <w:rPr>
          <w:rFonts w:ascii="Arial" w:cs="Arial" w:eastAsia="Arial" w:hAnsi="Arial"/>
          <w:sz w:val="12"/>
          <w:szCs w:val="12"/>
          <w:color w:val="auto"/>
        </w:rPr>
        <w:t xml:space="preserve">In February 2016, the Financial Accounting Standards Board (“FASB”) issued Accounting Standards Update (“ASU”) 2016-02,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The Company adopted the new guidance effective January 1, 2021. The Company elected the optional transition method which allows entities to continue to apply historical accounting guidance in the comparative periods presented in the year of adoption. At transition, lessees and lessors may elect to apply a package of practical expedients permitting entities not to reassess: (i) whether any expired or existing contracts are or contain leases; (ii) lease classification for any expired or existing leases and (iii) whether initial direct costs for any expired or existing leases qualify for capitalization under the amended guidance. These practical expedients must be elected as a package and consistently applied. The Company applied the package of practical expedients upon adoption. As a result of adopting this standard, on January 1, 2021, the Company recorded lease liabilities of $29.3 million, right-of-use assets of $28.0 million, and an immaterial cumulative catch-up adjustment to opening equity. The adoption of this new standard did not have a material impact on the Company’s consolidated statements of operations, comprehensive income (loss), or cash flows. The Company has included expanded disclosures on the condensed consolidated balance sheets and in Note 10 to the Condensed Consolidated Financial Statements.</w:t>
      </w:r>
    </w:p>
    <w:p>
      <w:pPr>
        <w:spacing w:after="0" w:line="156" w:lineRule="exact"/>
        <w:rPr>
          <w:sz w:val="20"/>
          <w:szCs w:val="20"/>
          <w:color w:val="auto"/>
        </w:rPr>
      </w:pPr>
    </w:p>
    <w:p>
      <w:pPr>
        <w:ind w:right="40"/>
        <w:spacing w:after="0" w:line="234" w:lineRule="auto"/>
        <w:rPr>
          <w:sz w:val="20"/>
          <w:szCs w:val="20"/>
          <w:color w:val="auto"/>
        </w:rPr>
      </w:pPr>
      <w:r>
        <w:rPr>
          <w:rFonts w:ascii="Arial" w:cs="Arial" w:eastAsia="Arial" w:hAnsi="Arial"/>
          <w:sz w:val="13"/>
          <w:szCs w:val="13"/>
          <w:color w:val="auto"/>
        </w:rPr>
        <w:t xml:space="preserve">In November 2019, the FASB issued ASU 2019-11, Financial Instruments – </w:t>
      </w:r>
      <w:r>
        <w:rPr>
          <w:rFonts w:ascii="Arial" w:cs="Arial" w:eastAsia="Arial" w:hAnsi="Arial"/>
          <w:sz w:val="13"/>
          <w:szCs w:val="13"/>
          <w:i w:val="1"/>
          <w:iCs w:val="1"/>
          <w:color w:val="auto"/>
        </w:rPr>
        <w:t>Credit Losses</w:t>
      </w:r>
      <w:r>
        <w:rPr>
          <w:rFonts w:ascii="Arial" w:cs="Arial" w:eastAsia="Arial" w:hAnsi="Arial"/>
          <w:sz w:val="13"/>
          <w:szCs w:val="13"/>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The Company adopted the new guidance effective January 1, 2021. As a result of adopting this standard, on January 1, 2021, the Company recorded a cumulative adjustment to opening equity of $0.5 million. The adoption of this new standard did not have a material impact on the Company’s consolidated statements of operations, comprehensive income (loss),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2. FAIR VALUE MEASUREMENTS</w:t>
      </w:r>
    </w:p>
    <w:p>
      <w:pPr>
        <w:spacing w:after="0" w:line="169"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280"/>
          </w:cols>
          <w:pgMar w:left="300" w:top="1073" w:right="319" w:bottom="1440" w:gutter="0" w:footer="0" w:header="0"/>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Level 1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37414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4140" cy="6985"/>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Level 2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137414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4140" cy="6985"/>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Level 3 Inputs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573341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33415" cy="6985"/>
                    </a:xfrm>
                    <a:prstGeom prst="rect">
                      <a:avLst/>
                    </a:prstGeom>
                    <a:noFill/>
                  </pic:spPr>
                </pic:pic>
              </a:graphicData>
            </a:graphic>
          </wp:anchor>
        </w:drawing>
      </w:r>
    </w:p>
    <w:p>
      <w:pPr>
        <w:spacing w:after="0" w:line="11" w:lineRule="exact"/>
        <w:rPr>
          <w:sz w:val="20"/>
          <w:szCs w:val="20"/>
          <w:color w:val="auto"/>
        </w:rPr>
      </w:pPr>
    </w:p>
    <w:p>
      <w:pPr>
        <w:ind w:right="40"/>
        <w:spacing w:after="0" w:line="236" w:lineRule="auto"/>
        <w:rPr>
          <w:sz w:val="20"/>
          <w:szCs w:val="20"/>
          <w:color w:val="auto"/>
        </w:rPr>
      </w:pPr>
      <w:r>
        <w:rPr>
          <w:rFonts w:ascii="Arial" w:cs="Arial" w:eastAsia="Arial" w:hAnsi="Arial"/>
          <w:sz w:val="13"/>
          <w:szCs w:val="13"/>
          <w:color w:val="auto"/>
        </w:rPr>
        <w:t>Unadjusted quoted prices in active markets for similar assets or liabilities; unadjusted quoted prices for identical or similar assets or liabilities in markets that are not active;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573341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33415" cy="698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Unobservable inputs for the asset or liability.</w:t>
      </w:r>
    </w:p>
    <w:p>
      <w:pPr>
        <w:spacing w:after="0" w:line="200" w:lineRule="exact"/>
        <w:rPr>
          <w:sz w:val="20"/>
          <w:szCs w:val="20"/>
          <w:color w:val="auto"/>
        </w:rPr>
      </w:pPr>
    </w:p>
    <w:p>
      <w:pPr>
        <w:sectPr>
          <w:pgSz w:w="11900" w:h="16838" w:orient="portrait"/>
          <w:cols w:equalWidth="0" w:num="2">
            <w:col w:w="1540" w:space="720"/>
            <w:col w:w="9020"/>
          </w:cols>
          <w:pgMar w:left="300" w:top="1073" w:right="31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Measurements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11</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type w:val="continuous"/>
        </w:sectPr>
      </w:pPr>
    </w:p>
    <w:bookmarkStart w:id="14" w:name="page15"/>
    <w:bookmarkEnd w:id="14"/>
    <w:p>
      <w:pPr>
        <w:ind w:right="160"/>
        <w:spacing w:after="0" w:line="266" w:lineRule="auto"/>
        <w:rPr>
          <w:sz w:val="20"/>
          <w:szCs w:val="20"/>
          <w:color w:val="auto"/>
        </w:rPr>
      </w:pPr>
      <w:r>
        <w:rPr>
          <w:rFonts w:ascii="Arial" w:cs="Arial" w:eastAsia="Arial" w:hAnsi="Arial"/>
          <w:sz w:val="13"/>
          <w:szCs w:val="13"/>
          <w:color w:val="auto"/>
        </w:rPr>
        <w:t>The carrying amount of certain financial instruments, including cash and cash equivalents, accounts receivable, unbilled receivables, accounts payable, and accrued expenses approximate fair value due to the short maturity of these instruments. The carrying value of debt approximates fair value due to the variable nature of interest rates.</w:t>
      </w:r>
    </w:p>
    <w:p>
      <w:pPr>
        <w:spacing w:after="0" w:line="167"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As part of the Company’s continued cost savings initiatives, the Company is actively looking to terminate or sublease certain office spaces and call centers. These actions resulted in a $25.0 million operating lease impairment charge for the three and six months ended June 30, 2022, reducing the carrying value of the associated ROU assets and leasehold improvements to the estimated fair values. The fair value was estimated using a discounted cash flows approach on forecasted future cash flows expected to be derived from the property based on current sublease market rent, which is considered a level 3 input in the fair value hierarchy. A 5% increase or decrease to the market rent per square foot input would increase or decrease the estimated fair value and resulting impairment charge by approximately $1.0 million.</w:t>
      </w:r>
    </w:p>
    <w:p>
      <w:pPr>
        <w:spacing w:after="0" w:line="158" w:lineRule="exact"/>
        <w:rPr>
          <w:sz w:val="20"/>
          <w:szCs w:val="20"/>
          <w:color w:val="auto"/>
        </w:rPr>
      </w:pPr>
    </w:p>
    <w:p>
      <w:pPr>
        <w:ind w:right="8440" w:firstLine="5"/>
        <w:spacing w:after="0" w:line="519" w:lineRule="auto"/>
        <w:tabs>
          <w:tab w:leader="none" w:pos="142" w:val="left"/>
        </w:tabs>
        <w:numPr>
          <w:ilvl w:val="0"/>
          <w:numId w:val="8"/>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GOODWILL AND INTANGIBLE ASSETS, NET </w:t>
      </w:r>
      <w:r>
        <w:rPr>
          <w:rFonts w:ascii="Arial" w:cs="Arial" w:eastAsia="Arial" w:hAnsi="Arial"/>
          <w:sz w:val="13"/>
          <w:szCs w:val="13"/>
          <w:b w:val="1"/>
          <w:bCs w:val="1"/>
          <w:color w:val="000000"/>
        </w:rPr>
        <w:t>Goodwill</w:t>
      </w:r>
    </w:p>
    <w:p>
      <w:pPr>
        <w:spacing w:after="0" w:line="1"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During 2019, the Company allocated $380.3 million and $6.2 million of the goodwill recognized in connection with the Acquisition to its Medicare—Internal segment and Medicare—External segment, respectively, based on an estimate of the relative fair value of each reportable segment.</w:t>
      </w:r>
    </w:p>
    <w:p>
      <w:pPr>
        <w:spacing w:after="0" w:line="135"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The Company tests goodwill for impairment at the reporting unit level annually on November 30th and whenever events or circumstances make it more likely than not that an impairment may have occurred. A reporting unit is an operating segment or one level below an operating segment to which goodwill is assigned when initially recorded. The Company has four reporting units, which are the same as its four operating segments.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Fourth Quarter 2021 Goodwill Impairment Charges</w:t>
      </w:r>
    </w:p>
    <w:p>
      <w:pPr>
        <w:spacing w:after="0" w:line="177"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During the annual enrollment period in the fourth quarter of 2021, the Company and the broader industry experienced an increase in consumer shopping which led to lower policy persistency than anticipated and resulted in lower LTV performance. Additionally, operating margins in the fourth quarter of 2021 declined significantly, which was primarily driven by tight labor markets and resulted in higher than expected customer care and enrollment costs. As such and in connection with the Company’s annual and long-range planning process, which coincided with the Company’s annual goodwill impairment test as of November 30, 2021, the Company determined the Medicare— Internal and Medicare— External reporting units’ financial performance were lower than previously anticipated. As a result, the Company’s quantitative goodwill impairment test indicated that the fair values of the Medicare— Internal and Medicare— External reporting units no longer exceeded their carrying values, and the Company recognized goodwill impairment charges of $380.3 million and $6.2 million for the Medicare-Internal and Medicare— External reporting units, respectively, representing the full amount of goodwill associated with these reporting units.</w:t>
      </w:r>
    </w:p>
    <w:p>
      <w:pPr>
        <w:spacing w:after="0" w:line="160" w:lineRule="exact"/>
        <w:rPr>
          <w:sz w:val="20"/>
          <w:szCs w:val="20"/>
          <w:color w:val="auto"/>
        </w:rPr>
      </w:pPr>
    </w:p>
    <w:p>
      <w:pPr>
        <w:ind w:right="260"/>
        <w:spacing w:after="0" w:line="266" w:lineRule="auto"/>
        <w:rPr>
          <w:sz w:val="20"/>
          <w:szCs w:val="20"/>
          <w:color w:val="auto"/>
        </w:rPr>
      </w:pPr>
      <w:r>
        <w:rPr>
          <w:rFonts w:ascii="Arial" w:cs="Arial" w:eastAsia="Arial" w:hAnsi="Arial"/>
          <w:sz w:val="13"/>
          <w:szCs w:val="13"/>
          <w:color w:val="auto"/>
        </w:rPr>
        <w:t>The quantitative goodwill impairment test performed by the Company as of November 30, 2021, included significant level 3 fair value estimates and assumptions including, among others, cash flow projections and selecting an appropriate discount rate.</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Intangible Assets</w:t>
      </w:r>
    </w:p>
    <w:p>
      <w:pPr>
        <w:spacing w:after="0" w:line="179"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The gross carrying amounts, accumulated amortization and net carrying amounts of the Company’s definite-lived amortizable intangible assets, as well as its indefinite-lived intangible trade names,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380"/>
              <w:spacing w:after="0"/>
              <w:rPr>
                <w:sz w:val="20"/>
                <w:szCs w:val="20"/>
                <w:color w:val="auto"/>
              </w:rPr>
            </w:pPr>
            <w:r>
              <w:rPr>
                <w:rFonts w:ascii="Arial" w:cs="Arial" w:eastAsia="Arial" w:hAnsi="Arial"/>
                <w:sz w:val="11"/>
                <w:szCs w:val="11"/>
                <w:b w:val="1"/>
                <w:bCs w:val="1"/>
                <w:color w:val="auto"/>
              </w:rPr>
              <w:t>Jun. 30, 2022</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Gross Carrying Amount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Accumulated Amortization</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Net Carrying Amount</w:t>
            </w: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Developed technology</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496,000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198,400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297,600</w:t>
            </w:r>
          </w:p>
        </w:tc>
        <w:tc>
          <w:tcPr>
            <w:tcW w:w="0" w:type="dxa"/>
            <w:vAlign w:val="bottom"/>
          </w:tcPr>
          <w:p>
            <w:pPr>
              <w:spacing w:after="0"/>
              <w:rPr>
                <w:sz w:val="1"/>
                <w:szCs w:val="1"/>
                <w:color w:val="auto"/>
              </w:rPr>
            </w:pPr>
          </w:p>
        </w:tc>
      </w:tr>
      <w:tr>
        <w:trPr>
          <w:trHeight w:val="156"/>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Customer relationships</w:t>
            </w:r>
          </w:p>
        </w:tc>
        <w:tc>
          <w:tcPr>
            <w:tcW w:w="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232,000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64,960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167,040</w:t>
            </w:r>
          </w:p>
        </w:tc>
        <w:tc>
          <w:tcPr>
            <w:tcW w:w="0" w:type="dxa"/>
            <w:vAlign w:val="bottom"/>
          </w:tcPr>
          <w:p>
            <w:pPr>
              <w:spacing w:after="0"/>
              <w:rPr>
                <w:sz w:val="1"/>
                <w:szCs w:val="1"/>
                <w:color w:val="auto"/>
              </w:rPr>
            </w:pPr>
          </w:p>
        </w:tc>
      </w:tr>
      <w:tr>
        <w:trPr>
          <w:trHeight w:val="17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 subject to amortization</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728,000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263,360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464,640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Indefinite-lived trade names</w:t>
            </w: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6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5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83,000</w:t>
            </w:r>
          </w:p>
        </w:tc>
        <w:tc>
          <w:tcPr>
            <w:tcW w:w="0" w:type="dxa"/>
            <w:vAlign w:val="bottom"/>
          </w:tcPr>
          <w:p>
            <w:pPr>
              <w:spacing w:after="0"/>
              <w:rPr>
                <w:sz w:val="1"/>
                <w:szCs w:val="1"/>
                <w:color w:val="auto"/>
              </w:rPr>
            </w:pPr>
          </w:p>
        </w:tc>
      </w:tr>
      <w:tr>
        <w:trPr>
          <w:trHeight w:val="17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w:t>
            </w:r>
          </w:p>
        </w:tc>
        <w:tc>
          <w:tcPr>
            <w:tcW w:w="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547,640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gridSpan w:val="2"/>
            <w:vMerge w:val="restart"/>
          </w:tcPr>
          <w:p>
            <w:pPr>
              <w:jc w:val="right"/>
              <w:ind w:right="240"/>
              <w:spacing w:after="0"/>
              <w:rPr>
                <w:sz w:val="20"/>
                <w:szCs w:val="20"/>
                <w:color w:val="auto"/>
              </w:rPr>
            </w:pPr>
            <w:r>
              <w:rPr>
                <w:rFonts w:ascii="Arial" w:cs="Arial" w:eastAsia="Arial" w:hAnsi="Arial"/>
                <w:sz w:val="11"/>
                <w:szCs w:val="11"/>
                <w:color w:val="auto"/>
              </w:rPr>
              <w:t>2022 Form 10-Q</w:t>
            </w: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15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360" w:type="dxa"/>
            <w:vAlign w:val="bottom"/>
          </w:tcPr>
          <w:p>
            <w:pPr>
              <w:jc w:val="right"/>
              <w:ind w:right="1123"/>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54"/>
        </w:trPr>
        <w:tc>
          <w:tcPr>
            <w:tcW w:w="6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Dec. 31, 2021</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3"/>
                <w:szCs w:val="13"/>
                <w:color w:val="auto"/>
              </w:rPr>
            </w:pPr>
          </w:p>
        </w:tc>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Gross Carrying Amount</w:t>
            </w:r>
          </w:p>
        </w:tc>
        <w:tc>
          <w:tcPr>
            <w:tcW w:w="100" w:type="dxa"/>
            <w:vAlign w:val="bottom"/>
          </w:tcPr>
          <w:p>
            <w:pPr>
              <w:spacing w:after="0"/>
              <w:rPr>
                <w:sz w:val="13"/>
                <w:szCs w:val="13"/>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Accumulated Amortization</w:t>
            </w:r>
          </w:p>
        </w:tc>
        <w:tc>
          <w:tcPr>
            <w:tcW w:w="160" w:type="dxa"/>
            <w:vAlign w:val="bottom"/>
          </w:tcPr>
          <w:p>
            <w:pPr>
              <w:spacing w:after="0"/>
              <w:rPr>
                <w:sz w:val="13"/>
                <w:szCs w:val="13"/>
                <w:color w:val="auto"/>
              </w:rPr>
            </w:pPr>
          </w:p>
        </w:tc>
        <w:tc>
          <w:tcPr>
            <w:tcW w:w="1480" w:type="dxa"/>
            <w:vAlign w:val="bottom"/>
          </w:tcPr>
          <w:p>
            <w:pPr>
              <w:jc w:val="right"/>
              <w:ind w:right="203"/>
              <w:spacing w:after="0"/>
              <w:rPr>
                <w:sz w:val="20"/>
                <w:szCs w:val="20"/>
                <w:color w:val="auto"/>
              </w:rPr>
            </w:pPr>
            <w:r>
              <w:rPr>
                <w:rFonts w:ascii="Arial" w:cs="Arial" w:eastAsia="Arial" w:hAnsi="Arial"/>
                <w:sz w:val="11"/>
                <w:szCs w:val="11"/>
                <w:b w:val="1"/>
                <w:bCs w:val="1"/>
                <w:color w:val="auto"/>
              </w:rPr>
              <w:t>Net Carrying Amount</w:t>
            </w:r>
          </w:p>
        </w:tc>
        <w:tc>
          <w:tcPr>
            <w:tcW w:w="0" w:type="dxa"/>
            <w:vAlign w:val="bottom"/>
          </w:tcPr>
          <w:p>
            <w:pPr>
              <w:spacing w:after="0"/>
              <w:rPr>
                <w:sz w:val="1"/>
                <w:szCs w:val="1"/>
                <w:color w:val="auto"/>
              </w:rPr>
            </w:pPr>
          </w:p>
        </w:tc>
      </w:tr>
      <w:tr>
        <w:trPr>
          <w:trHeight w:val="150"/>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Developed technology</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496,000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162,971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333,029</w:t>
            </w:r>
          </w:p>
        </w:tc>
        <w:tc>
          <w:tcPr>
            <w:tcW w:w="0" w:type="dxa"/>
            <w:vAlign w:val="bottom"/>
          </w:tcPr>
          <w:p>
            <w:pPr>
              <w:spacing w:after="0"/>
              <w:rPr>
                <w:sz w:val="1"/>
                <w:szCs w:val="1"/>
                <w:color w:val="auto"/>
              </w:rPr>
            </w:pPr>
          </w:p>
        </w:tc>
      </w:tr>
      <w:tr>
        <w:trPr>
          <w:trHeight w:val="156"/>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Customer relationships</w:t>
            </w: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232,000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53,360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178,640</w:t>
            </w:r>
          </w:p>
        </w:tc>
        <w:tc>
          <w:tcPr>
            <w:tcW w:w="0" w:type="dxa"/>
            <w:vAlign w:val="bottom"/>
          </w:tcPr>
          <w:p>
            <w:pPr>
              <w:spacing w:after="0"/>
              <w:rPr>
                <w:sz w:val="1"/>
                <w:szCs w:val="1"/>
                <w:color w:val="auto"/>
              </w:rPr>
            </w:pPr>
          </w:p>
        </w:tc>
      </w:tr>
      <w:tr>
        <w:trPr>
          <w:trHeight w:val="178"/>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 subject to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728,000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216,331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511,669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Indefinite-lived trade names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18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5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5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83,000</w:t>
            </w:r>
          </w:p>
        </w:tc>
        <w:tc>
          <w:tcPr>
            <w:tcW w:w="0" w:type="dxa"/>
            <w:vAlign w:val="bottom"/>
          </w:tcPr>
          <w:p>
            <w:pPr>
              <w:spacing w:after="0"/>
              <w:rPr>
                <w:sz w:val="1"/>
                <w:szCs w:val="1"/>
                <w:color w:val="auto"/>
              </w:rPr>
            </w:pPr>
          </w:p>
        </w:tc>
      </w:tr>
      <w:tr>
        <w:trPr>
          <w:trHeight w:val="178"/>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594,669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There was no impairment of intangible assets for the three and six months ended June 30, 2022 and 2021.</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As of June 30, 2022, expected amortization expense related to intangible assets for each of the five succeeding years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3"/>
                <w:szCs w:val="13"/>
                <w:color w:val="auto"/>
              </w:rPr>
            </w:pPr>
          </w:p>
        </w:tc>
        <w:tc>
          <w:tcPr>
            <w:tcW w:w="1580" w:type="dxa"/>
            <w:vAlign w:val="bottom"/>
            <w:gridSpan w:val="2"/>
          </w:tcPr>
          <w:p>
            <w:pPr>
              <w:ind w:left="60"/>
              <w:spacing w:after="0"/>
              <w:rPr>
                <w:sz w:val="20"/>
                <w:szCs w:val="20"/>
                <w:color w:val="auto"/>
              </w:rPr>
            </w:pPr>
            <w:r>
              <w:rPr>
                <w:rFonts w:ascii="Arial" w:cs="Arial" w:eastAsia="Arial" w:hAnsi="Arial"/>
                <w:sz w:val="11"/>
                <w:szCs w:val="11"/>
                <w:b w:val="1"/>
                <w:bCs w:val="1"/>
                <w:color w:val="auto"/>
              </w:rPr>
              <w:t>Developed Technology</w:t>
            </w:r>
          </w:p>
        </w:tc>
        <w:tc>
          <w:tcPr>
            <w:tcW w:w="140" w:type="dxa"/>
            <w:vAlign w:val="bottom"/>
          </w:tcPr>
          <w:p>
            <w:pPr>
              <w:spacing w:after="0"/>
              <w:rPr>
                <w:sz w:val="13"/>
                <w:szCs w:val="13"/>
                <w:color w:val="auto"/>
              </w:rPr>
            </w:pPr>
          </w:p>
        </w:tc>
        <w:tc>
          <w:tcPr>
            <w:tcW w:w="1600" w:type="dxa"/>
            <w:vAlign w:val="bottom"/>
            <w:gridSpan w:val="2"/>
          </w:tcPr>
          <w:p>
            <w:pPr>
              <w:ind w:left="40"/>
              <w:spacing w:after="0"/>
              <w:rPr>
                <w:sz w:val="20"/>
                <w:szCs w:val="20"/>
                <w:color w:val="auto"/>
              </w:rPr>
            </w:pPr>
            <w:r>
              <w:rPr>
                <w:rFonts w:ascii="Arial" w:cs="Arial" w:eastAsia="Arial" w:hAnsi="Arial"/>
                <w:sz w:val="11"/>
                <w:szCs w:val="11"/>
                <w:b w:val="1"/>
                <w:bCs w:val="1"/>
                <w:color w:val="auto"/>
              </w:rPr>
              <w:t>Customer Relationships</w:t>
            </w:r>
          </w:p>
        </w:tc>
        <w:tc>
          <w:tcPr>
            <w:tcW w:w="380" w:type="dxa"/>
            <w:vAlign w:val="bottom"/>
          </w:tcPr>
          <w:p>
            <w:pPr>
              <w:spacing w:after="0"/>
              <w:rPr>
                <w:sz w:val="13"/>
                <w:szCs w:val="13"/>
                <w:color w:val="auto"/>
              </w:rPr>
            </w:pPr>
          </w:p>
        </w:tc>
        <w:tc>
          <w:tcPr>
            <w:tcW w:w="1260" w:type="dxa"/>
            <w:vAlign w:val="bottom"/>
          </w:tcPr>
          <w:p>
            <w:pPr>
              <w:jc w:val="right"/>
              <w:ind w:right="623"/>
              <w:spacing w:after="0"/>
              <w:rPr>
                <w:sz w:val="20"/>
                <w:szCs w:val="20"/>
                <w:color w:val="auto"/>
              </w:rPr>
            </w:pPr>
            <w:r>
              <w:rPr>
                <w:rFonts w:ascii="Arial" w:cs="Arial" w:eastAsia="Arial" w:hAnsi="Arial"/>
                <w:sz w:val="11"/>
                <w:szCs w:val="11"/>
                <w:b w:val="1"/>
                <w:bCs w:val="1"/>
                <w:color w:val="auto"/>
              </w:rPr>
              <w:t>Total</w:t>
            </w:r>
          </w:p>
        </w:tc>
      </w:tr>
      <w:tr>
        <w:trPr>
          <w:trHeight w:val="150"/>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Remainder of 2022</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35,429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11,600</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47,029</w:t>
            </w:r>
          </w:p>
        </w:tc>
      </w:tr>
      <w:tr>
        <w:trPr>
          <w:trHeight w:val="156"/>
        </w:trPr>
        <w:tc>
          <w:tcPr>
            <w:tcW w:w="6180" w:type="dxa"/>
            <w:vAlign w:val="bottom"/>
          </w:tcPr>
          <w:p>
            <w:pPr>
              <w:ind w:left="20"/>
              <w:spacing w:after="0"/>
              <w:rPr>
                <w:sz w:val="20"/>
                <w:szCs w:val="20"/>
                <w:color w:val="auto"/>
              </w:rPr>
            </w:pPr>
            <w:r>
              <w:rPr>
                <w:rFonts w:ascii="Arial" w:cs="Arial" w:eastAsia="Arial" w:hAnsi="Arial"/>
                <w:sz w:val="11"/>
                <w:szCs w:val="11"/>
                <w:color w:val="auto"/>
              </w:rPr>
              <w:t>2023</w:t>
            </w: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70,857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94,057</w:t>
            </w:r>
          </w:p>
        </w:tc>
      </w:tr>
      <w:tr>
        <w:trPr>
          <w:trHeight w:val="162"/>
        </w:trPr>
        <w:tc>
          <w:tcPr>
            <w:tcW w:w="6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2024</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70,857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94,057</w:t>
            </w:r>
          </w:p>
        </w:tc>
      </w:tr>
      <w:tr>
        <w:trPr>
          <w:trHeight w:val="156"/>
        </w:trPr>
        <w:tc>
          <w:tcPr>
            <w:tcW w:w="6180" w:type="dxa"/>
            <w:vAlign w:val="bottom"/>
          </w:tcPr>
          <w:p>
            <w:pPr>
              <w:ind w:left="20"/>
              <w:spacing w:after="0"/>
              <w:rPr>
                <w:sz w:val="20"/>
                <w:szCs w:val="20"/>
                <w:color w:val="auto"/>
              </w:rPr>
            </w:pPr>
            <w:r>
              <w:rPr>
                <w:rFonts w:ascii="Arial" w:cs="Arial" w:eastAsia="Arial" w:hAnsi="Arial"/>
                <w:sz w:val="11"/>
                <w:szCs w:val="11"/>
                <w:color w:val="auto"/>
              </w:rPr>
              <w:t>2025</w:t>
            </w: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70,857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94,057</w:t>
            </w:r>
          </w:p>
        </w:tc>
      </w:tr>
      <w:tr>
        <w:trPr>
          <w:trHeight w:val="162"/>
        </w:trPr>
        <w:tc>
          <w:tcPr>
            <w:tcW w:w="6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72,800</w:t>
            </w:r>
          </w:p>
        </w:tc>
      </w:tr>
      <w:tr>
        <w:trPr>
          <w:trHeight w:val="156"/>
        </w:trPr>
        <w:tc>
          <w:tcPr>
            <w:tcW w:w="6180" w:type="dxa"/>
            <w:vAlign w:val="bottom"/>
          </w:tcPr>
          <w:p>
            <w:pPr>
              <w:ind w:left="20"/>
              <w:spacing w:after="0"/>
              <w:rPr>
                <w:sz w:val="20"/>
                <w:szCs w:val="20"/>
                <w:color w:val="auto"/>
              </w:rPr>
            </w:pPr>
            <w:r>
              <w:rPr>
                <w:rFonts w:ascii="Arial" w:cs="Arial" w:eastAsia="Arial" w:hAnsi="Arial"/>
                <w:sz w:val="11"/>
                <w:szCs w:val="11"/>
                <w:color w:val="auto"/>
              </w:rPr>
              <w:t>Thereafter</w:t>
            </w:r>
          </w:p>
        </w:tc>
        <w:tc>
          <w:tcPr>
            <w:tcW w:w="140" w:type="dxa"/>
            <w:vAlign w:val="bottom"/>
          </w:tcPr>
          <w:p>
            <w:pPr>
              <w:spacing w:after="0"/>
              <w:rPr>
                <w:sz w:val="13"/>
                <w:szCs w:val="13"/>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62,640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62,640</w:t>
            </w:r>
          </w:p>
        </w:tc>
      </w:tr>
      <w:tr>
        <w:trPr>
          <w:trHeight w:val="17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297,600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167,040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464,640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4. LONG-TERM DEBT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Company’s long-term debt consisted of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3"/>
                <w:szCs w:val="13"/>
                <w:color w:val="auto"/>
              </w:rPr>
            </w:pPr>
          </w:p>
        </w:tc>
        <w:tc>
          <w:tcPr>
            <w:tcW w:w="146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 30, 2022</w:t>
            </w:r>
          </w:p>
        </w:tc>
        <w:tc>
          <w:tcPr>
            <w:tcW w:w="260" w:type="dxa"/>
            <w:vAlign w:val="bottom"/>
          </w:tcPr>
          <w:p>
            <w:pPr>
              <w:spacing w:after="0"/>
              <w:rPr>
                <w:sz w:val="13"/>
                <w:szCs w:val="13"/>
                <w:color w:val="auto"/>
              </w:rPr>
            </w:pPr>
          </w:p>
        </w:tc>
        <w:tc>
          <w:tcPr>
            <w:tcW w:w="1380" w:type="dxa"/>
            <w:vAlign w:val="bottom"/>
          </w:tcPr>
          <w:p>
            <w:pPr>
              <w:jc w:val="right"/>
              <w:ind w:right="403"/>
              <w:spacing w:after="0"/>
              <w:rPr>
                <w:sz w:val="20"/>
                <w:szCs w:val="20"/>
                <w:color w:val="auto"/>
              </w:rPr>
            </w:pPr>
            <w:r>
              <w:rPr>
                <w:rFonts w:ascii="Arial" w:cs="Arial" w:eastAsia="Arial" w:hAnsi="Arial"/>
                <w:sz w:val="11"/>
                <w:szCs w:val="11"/>
                <w:b w:val="1"/>
                <w:bCs w:val="1"/>
                <w:color w:val="auto"/>
              </w:rPr>
              <w:t>Dec. 31, 2021</w:t>
            </w:r>
          </w:p>
        </w:tc>
      </w:tr>
      <w:tr>
        <w:trPr>
          <w:trHeight w:val="150"/>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Term Loan Facilities</w:t>
            </w: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520,768</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523,403</w:t>
            </w:r>
          </w:p>
        </w:tc>
      </w:tr>
      <w:tr>
        <w:trPr>
          <w:trHeight w:val="156"/>
        </w:trPr>
        <w:tc>
          <w:tcPr>
            <w:tcW w:w="7880" w:type="dxa"/>
            <w:vAlign w:val="bottom"/>
          </w:tcPr>
          <w:p>
            <w:pPr>
              <w:ind w:left="20"/>
              <w:spacing w:after="0"/>
              <w:rPr>
                <w:sz w:val="20"/>
                <w:szCs w:val="20"/>
                <w:color w:val="auto"/>
              </w:rPr>
            </w:pPr>
            <w:r>
              <w:rPr>
                <w:rFonts w:ascii="Arial" w:cs="Arial" w:eastAsia="Arial" w:hAnsi="Arial"/>
                <w:sz w:val="11"/>
                <w:szCs w:val="11"/>
                <w:color w:val="auto"/>
              </w:rPr>
              <w:t>Revolving Credit Facilities</w:t>
            </w:r>
          </w:p>
        </w:tc>
        <w:tc>
          <w:tcPr>
            <w:tcW w:w="2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155,000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155,000</w:t>
            </w:r>
          </w:p>
        </w:tc>
      </w:tr>
      <w:tr>
        <w:trPr>
          <w:trHeight w:val="159"/>
        </w:trPr>
        <w:tc>
          <w:tcPr>
            <w:tcW w:w="7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Unamortized debt discount and issuance costs</w:t>
            </w:r>
          </w:p>
        </w:tc>
        <w:tc>
          <w:tcPr>
            <w:tcW w:w="2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(8,480)</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(8,018)</w:t>
            </w:r>
          </w:p>
        </w:tc>
      </w:tr>
      <w:tr>
        <w:trPr>
          <w:trHeight w:val="153"/>
        </w:trPr>
        <w:tc>
          <w:tcPr>
            <w:tcW w:w="7880" w:type="dxa"/>
            <w:vAlign w:val="bottom"/>
          </w:tcPr>
          <w:p>
            <w:pPr>
              <w:ind w:left="20"/>
              <w:spacing w:after="0"/>
              <w:rPr>
                <w:sz w:val="20"/>
                <w:szCs w:val="20"/>
                <w:color w:val="auto"/>
              </w:rPr>
            </w:pPr>
            <w:r>
              <w:rPr>
                <w:rFonts w:ascii="Arial" w:cs="Arial" w:eastAsia="Arial" w:hAnsi="Arial"/>
                <w:sz w:val="11"/>
                <w:szCs w:val="11"/>
                <w:b w:val="1"/>
                <w:bCs w:val="1"/>
                <w:color w:val="auto"/>
              </w:rPr>
              <w:t>Total debt</w:t>
            </w: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667,288</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670,385</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38"/>
        </w:trPr>
        <w:tc>
          <w:tcPr>
            <w:tcW w:w="7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Current portion of long-term debt</w:t>
            </w:r>
          </w:p>
        </w:tc>
        <w:tc>
          <w:tcPr>
            <w:tcW w:w="28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(5,270)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(5,270)</w:t>
            </w:r>
          </w:p>
        </w:tc>
      </w:tr>
      <w:tr>
        <w:trPr>
          <w:trHeight w:val="153"/>
        </w:trPr>
        <w:tc>
          <w:tcPr>
            <w:tcW w:w="7880" w:type="dxa"/>
            <w:vAlign w:val="bottom"/>
          </w:tcPr>
          <w:p>
            <w:pPr>
              <w:ind w:left="20"/>
              <w:spacing w:after="0"/>
              <w:rPr>
                <w:sz w:val="20"/>
                <w:szCs w:val="20"/>
                <w:color w:val="auto"/>
              </w:rPr>
            </w:pPr>
            <w:r>
              <w:rPr>
                <w:rFonts w:ascii="Arial" w:cs="Arial" w:eastAsia="Arial" w:hAnsi="Arial"/>
                <w:sz w:val="11"/>
                <w:szCs w:val="11"/>
                <w:b w:val="1"/>
                <w:bCs w:val="1"/>
                <w:color w:val="auto"/>
              </w:rPr>
              <w:t>Total long-term debt</w:t>
            </w: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662,018</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665,115</w:t>
            </w:r>
          </w:p>
        </w:tc>
      </w:tr>
      <w:tr>
        <w:trPr>
          <w:trHeight w:val="20"/>
        </w:trPr>
        <w:tc>
          <w:tcPr>
            <w:tcW w:w="7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 Loan Facilities</w:t>
      </w:r>
    </w:p>
    <w:p>
      <w:pPr>
        <w:spacing w:after="0" w:line="169"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On September 13, 2019, Norvax (the “Borrower”) entered into a first lien credit agreement (the “Credit Agreement”) which provided for a $300.0 million aggregate principal amount senior secured term loan facility (the “Initial Term Loan Facility”). During 2020, the Company entered into a series of amendments to the Credit Agreement to provide for, among other items as further described below, $117.0 million of incremental term loans (the “Incremental Term Loan Facility”).</w:t>
      </w:r>
    </w:p>
    <w:p>
      <w:pPr>
        <w:spacing w:after="0" w:line="138"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On June 11, 2021, the Company entered into Amendment No. 5 to the Credit Agreement and Incremental Facility Agreement (“Amendment No. 5”). Amendment No. 5 created a new class of incremental term loans (the “2021 Incremental Term Loans”) in an aggregate principal amount equal to $310.0 million, which was used to refinance $295.5 million of outstanding principal under the Initial Term Loan Facility, pay the related accrued interest and fund the prepayment premium. In connection with Amendment No. 5 and the refinancing of the Initial Term Loan, the Company recognized an $11.9 million loss on debt extinguishment, representing the 2% prepayment premium of $5.9 million and the write-down of deferred financing costs and debt discounts of $6.0 million. The Company incurred $1.7 million of debt issuance costs associated with Amendment No. 5, which are being amortized over the life of the debt to interest expense using the effective interest method.</w:t>
      </w:r>
    </w:p>
    <w:p>
      <w:pPr>
        <w:spacing w:after="0" w:line="33" w:lineRule="exact"/>
        <w:rPr>
          <w:sz w:val="20"/>
          <w:szCs w:val="20"/>
          <w:color w:val="auto"/>
        </w:rPr>
      </w:pPr>
    </w:p>
    <w:p>
      <w:pPr>
        <w:jc w:val="both"/>
        <w:ind w:right="80"/>
        <w:spacing w:after="0" w:line="252" w:lineRule="auto"/>
        <w:rPr>
          <w:sz w:val="20"/>
          <w:szCs w:val="20"/>
          <w:color w:val="auto"/>
        </w:rPr>
      </w:pPr>
      <w:r>
        <w:rPr>
          <w:rFonts w:ascii="Arial" w:cs="Arial" w:eastAsia="Arial" w:hAnsi="Arial"/>
          <w:sz w:val="13"/>
          <w:szCs w:val="13"/>
          <w:color w:val="auto"/>
        </w:rPr>
        <w:t>On November 10, 2021, the Company entered into Amendment No. 6 to the Credit Agreement and Incremental Facility Agreement (“Amendment No. 6”). Amendment No. 6 provided $100.0 million of incremental term loans (the “2021-2 Incremental Term Loans”). The Company incurred $2.5 million of debt issuance costs associated with Amendment No. 6, which are being amortized over the life of the debt to interest expense using the effective interest method.</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The Company collectively refers to the Initial Term Loan, Incremental Term Loan Facility, the 2021 Incremental Term Loans, and the 2021-2 Incremental Term Loans as the “Term Loan Facilities”.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16" w:name="page17"/>
    <w:bookmarkEnd w:id="16"/>
    <w:p>
      <w:pPr>
        <w:ind w:right="120"/>
        <w:spacing w:after="0" w:line="254" w:lineRule="auto"/>
        <w:rPr>
          <w:sz w:val="20"/>
          <w:szCs w:val="20"/>
          <w:color w:val="auto"/>
        </w:rPr>
      </w:pPr>
      <w:r>
        <w:rPr>
          <w:rFonts w:ascii="Arial" w:cs="Arial" w:eastAsia="Arial" w:hAnsi="Arial"/>
          <w:sz w:val="13"/>
          <w:szCs w:val="13"/>
          <w:color w:val="auto"/>
        </w:rPr>
        <w:t>As of June 30, 2022, the Company had a principal amount of $114.4 million, $306.9 million, and $99.5 million outstanding under the Incremental Term Loan Facility, the 2021 Incremental Term Loans, and the 2021-2 Incremental Term Loans, respectively. As of December 31, 2021, the Company had a principal amount of $115.0 million $308.4 million, and $100.0 million outstanding under the Incremental Term Loan Facility, the 2021 Incremental Term Loans, and the 2021-2 Incremental Term Loans, respectively. The Incremental Term Loan Facility effective interest rate was 7.5% at both June 30, 2022 and December 31, 2021. The 2021 Incremental Term Loan and the 2021-2 Incremental Term Loan effective interest rates were 7.5% and 7.7% at June 30, 2022, respectively. Both the 2021 Incremental Term Loan and the 2021-2 Incremental Term Loan effective interest rate was 6.0% at December 31, 2021.</w:t>
      </w:r>
    </w:p>
    <w:p>
      <w:pPr>
        <w:spacing w:after="0" w:line="143"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Borrowings under the Incremental Term Loan Facility are, at the option of the Borrower, either (i) alternate base rate (“ABR”) plus 5.50% per annum or (ii) LIBOR plus 6.50% per annum. The 2021 Incremental Term Loans from and after the 2021-2 Incremental Term Loans Closing Date, or November 10, 2021, and the 2021-2 Incremental Term Loans, bear interest at either (i) ABR plus 4.00% per annum or (ii) LIBOR plus 5.00% per annum.</w:t>
      </w:r>
    </w:p>
    <w:p>
      <w:pPr>
        <w:spacing w:after="0" w:line="138"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On March 14, 2022, the Company entered into Amendment No. 7 to the Credit Agreement and Incremental Facility Agreement (“Amendment No. 7”). Amendment No. 7 provided that (a) the 2021 Incremental Term Loans, from and after the Amendment No. 7 Effective Date, will bear interest at either (i) ABR plus 5.50% per annum or (ii) LIBOR plus 6.50% per annum and (b) the 2021-2 Incremental Term Loans, from and after the Amendment No. 7 Effective Date, will bear interest at either (i) ABR plus 5.50% per annum or (ii) LIBOR plus 6.50% per annum. Amendment No. 7 further amended the Credit Agreement to remove testing of the Net Leverage Ratio for the December 31, 2021 period and increased the maximum permitted Net Leverage Ratio for future reporting periods through March 31, 2023. The Company incurred $1.7 million of debt issuance costs associated with Amendment No. 7, which are being amortized over the life of the debt to interest expense using the effective interest method.</w:t>
      </w:r>
    </w:p>
    <w:p>
      <w:pPr>
        <w:spacing w:after="0" w:line="148" w:lineRule="exact"/>
        <w:rPr>
          <w:sz w:val="20"/>
          <w:szCs w:val="20"/>
          <w:color w:val="auto"/>
        </w:rPr>
      </w:pPr>
    </w:p>
    <w:p>
      <w:pPr>
        <w:ind w:right="160"/>
        <w:spacing w:after="0" w:line="259" w:lineRule="auto"/>
        <w:rPr>
          <w:sz w:val="20"/>
          <w:szCs w:val="20"/>
          <w:color w:val="auto"/>
        </w:rPr>
      </w:pPr>
      <w:r>
        <w:rPr>
          <w:rFonts w:ascii="Arial" w:cs="Arial" w:eastAsia="Arial" w:hAnsi="Arial"/>
          <w:sz w:val="13"/>
          <w:szCs w:val="13"/>
          <w:color w:val="auto"/>
        </w:rPr>
        <w:t>On August 12, 2022, the Company entered into Amendment No. 8 to the Credit Agreement and Incremental Facility Agreement (“Amendment No. 8”). Amendment No. 8 provided that (a) the 2021 Incremental Term Loans, from and after the Amendment No. 8 Effective Date, will bear interest at either (i) ABR plus 6.50% per annum or (ii) LIBOR plus 7.50% per annum and (b) the 2021-2 Incremental Term Loans, from and after the Amendment No. 8 Effective Date, will bear interest at either (i) ABR plus 6.50% per annum or (ii) LIBOR plus 7.50% per annum. Amendment No. 8 further amended the Credit Agreement to increase the maximum permitted Net Leverage Ratio for future reporting periods from December 31, 2022 through June 30, 2023.</w:t>
      </w:r>
    </w:p>
    <w:p>
      <w:pPr>
        <w:spacing w:after="0" w:line="140"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Revolving Credit Facilities</w:t>
      </w:r>
    </w:p>
    <w:p>
      <w:pPr>
        <w:spacing w:after="0" w:line="169"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The Credit Agreement provided for a $30.0 million aggregate principal amount senior secured revolving credit facility (the “Revolving Credit Facility”). During 2020, the Company entered into a series of amendments to the Credit Agreement to provide for $28.0 million of incremental revolving credit (the “Incremental Revolving Credit Facilities”).</w:t>
      </w:r>
    </w:p>
    <w:p>
      <w:pPr>
        <w:spacing w:after="0" w:line="125" w:lineRule="exact"/>
        <w:rPr>
          <w:sz w:val="20"/>
          <w:szCs w:val="20"/>
          <w:color w:val="auto"/>
        </w:rPr>
      </w:pPr>
    </w:p>
    <w:p>
      <w:pPr>
        <w:ind w:right="500"/>
        <w:spacing w:after="0" w:line="266" w:lineRule="auto"/>
        <w:rPr>
          <w:sz w:val="20"/>
          <w:szCs w:val="20"/>
          <w:color w:val="auto"/>
        </w:rPr>
      </w:pPr>
      <w:r>
        <w:rPr>
          <w:rFonts w:ascii="Arial" w:cs="Arial" w:eastAsia="Arial" w:hAnsi="Arial"/>
          <w:sz w:val="13"/>
          <w:szCs w:val="13"/>
          <w:color w:val="auto"/>
        </w:rPr>
        <w:t>On May 7, 2021, the Company entered into a fourth amendment to the Credit Agreement, which provided $142.0 million of incremental revolving credit (the “Incremental No. 4 Revolving Credit Facility”), for a total amount of $200.0 million.</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 Company collectively refers to the Revolving Credit Facility, the Incremental Revolving Credit Facilities, and the Incremental No. 4 Revolving Credit Facility as the “Revolving Credit Facilities”.</w:t>
      </w:r>
    </w:p>
    <w:p>
      <w:pPr>
        <w:spacing w:after="0" w:line="169" w:lineRule="exact"/>
        <w:rPr>
          <w:sz w:val="20"/>
          <w:szCs w:val="20"/>
          <w:color w:val="auto"/>
        </w:rPr>
      </w:pPr>
    </w:p>
    <w:p>
      <w:pPr>
        <w:ind w:right="460"/>
        <w:spacing w:after="0" w:line="283" w:lineRule="auto"/>
        <w:rPr>
          <w:sz w:val="20"/>
          <w:szCs w:val="20"/>
          <w:color w:val="auto"/>
        </w:rPr>
      </w:pPr>
      <w:r>
        <w:rPr>
          <w:rFonts w:ascii="Arial" w:cs="Arial" w:eastAsia="Arial" w:hAnsi="Arial"/>
          <w:sz w:val="13"/>
          <w:szCs w:val="13"/>
          <w:color w:val="auto"/>
        </w:rPr>
        <w:t>Amendment No. 5, as described above, also separated the Revolving Credit Facilities into two classes of revolving commitments consisting of Class A Revolving Commitments in the amount of $30.0 million and Class B Revolving Commitments in the amount of $170.0 million.</w:t>
      </w:r>
    </w:p>
    <w:p>
      <w:pPr>
        <w:spacing w:after="0" w:line="125" w:lineRule="exact"/>
        <w:rPr>
          <w:sz w:val="20"/>
          <w:szCs w:val="20"/>
          <w:color w:val="auto"/>
        </w:rPr>
      </w:pPr>
    </w:p>
    <w:p>
      <w:pPr>
        <w:ind w:right="280"/>
        <w:spacing w:after="0" w:line="309" w:lineRule="auto"/>
        <w:rPr>
          <w:sz w:val="20"/>
          <w:szCs w:val="20"/>
          <w:color w:val="auto"/>
        </w:rPr>
      </w:pPr>
      <w:r>
        <w:rPr>
          <w:rFonts w:ascii="Arial" w:cs="Arial" w:eastAsia="Arial" w:hAnsi="Arial"/>
          <w:sz w:val="12"/>
          <w:szCs w:val="12"/>
          <w:color w:val="auto"/>
        </w:rPr>
        <w:t>Borrowings under the Class A Revolving Commitments bear interest at either ABR plus 5.50% per annum or LIBOR plus 6.50% per annum. Borrowings under the Class B Revolving Commitments bear interest at either ABR plus 3.00% per annum or LIBOR plus 4.00% per annum. The Borrower is required to pay a commitment fee of 0.50% per annum under the Revolving Credit Facilities.</w:t>
      </w:r>
    </w:p>
    <w:p>
      <w:pPr>
        <w:spacing w:after="0" w:line="122" w:lineRule="exact"/>
        <w:rPr>
          <w:sz w:val="20"/>
          <w:szCs w:val="20"/>
          <w:color w:val="auto"/>
        </w:rPr>
      </w:pPr>
    </w:p>
    <w:p>
      <w:pPr>
        <w:jc w:val="both"/>
        <w:ind w:right="240"/>
        <w:spacing w:after="0" w:line="261" w:lineRule="auto"/>
        <w:rPr>
          <w:sz w:val="20"/>
          <w:szCs w:val="20"/>
          <w:color w:val="auto"/>
        </w:rPr>
      </w:pPr>
      <w:r>
        <w:rPr>
          <w:rFonts w:ascii="Arial" w:cs="Arial" w:eastAsia="Arial" w:hAnsi="Arial"/>
          <w:sz w:val="13"/>
          <w:szCs w:val="13"/>
          <w:color w:val="auto"/>
        </w:rPr>
        <w:t>The Company had $23.2 million outstanding under the Class A Revolving Credit Facilities and $131.8 million outstanding under the Class B Revolving Credit Facilities as of both June 30, 2022 and December 31, 2021. The Revolving Credit Facilities have a remaining capacity of $45.0 million in the aggregate as of June 30, 2022. The Class A Revolving Credit Facilities and Class B Revolving Credit Facilities weighted-average effective interest rates were 8.1% and 5.6% at June 30, 2022, respectively, and 7.5% and 5.0% at December 31, 2021,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Outstanding borrowings under the Revolving Credit Facilities do not amortize and are due and payable on September 13, 2024.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14</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7" w:name="page18"/>
    <w:bookmarkEnd w:id="17"/>
    <w:p>
      <w:pPr>
        <w:jc w:val="both"/>
        <w:ind w:right="180"/>
        <w:spacing w:after="0" w:line="261" w:lineRule="auto"/>
        <w:rPr>
          <w:sz w:val="20"/>
          <w:szCs w:val="20"/>
          <w:color w:val="auto"/>
        </w:rPr>
      </w:pPr>
      <w:r>
        <w:rPr>
          <w:rFonts w:ascii="Arial" w:cs="Arial" w:eastAsia="Arial" w:hAnsi="Arial"/>
          <w:sz w:val="13"/>
          <w:szCs w:val="13"/>
          <w:color w:val="auto"/>
        </w:rPr>
        <w:t>The Borrower’s obligations under the Term Loan Facilities and Revolving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 The Credit Agreement contains customary events of default and financial and non-financial covenants. The Company is in compliance with all covenants as of June 30, 2022.</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5. STOCKHOLDERS' EQUITY AND MEMBERS' EQUITY</w:t>
      </w:r>
    </w:p>
    <w:p>
      <w:pPr>
        <w:spacing w:after="0" w:line="179" w:lineRule="exact"/>
        <w:rPr>
          <w:sz w:val="20"/>
          <w:szCs w:val="20"/>
          <w:color w:val="auto"/>
        </w:rPr>
      </w:pPr>
    </w:p>
    <w:p>
      <w:pPr>
        <w:ind w:right="180"/>
        <w:spacing w:after="0" w:line="283" w:lineRule="auto"/>
        <w:rPr>
          <w:sz w:val="20"/>
          <w:szCs w:val="20"/>
          <w:color w:val="auto"/>
        </w:rPr>
      </w:pPr>
      <w:r>
        <w:rPr>
          <w:rFonts w:ascii="Arial" w:cs="Arial" w:eastAsia="Arial" w:hAnsi="Arial"/>
          <w:sz w:val="12"/>
          <w:szCs w:val="12"/>
          <w:color w:val="auto"/>
        </w:rPr>
        <w:t>In connection with the Company’s IPO in July 2020, the Company’s board of directors (the “Board of Directors”) approved an amended and restated certificate of incorporation and amended and restated bylaws. The amended and restated certificate of incorporation authorizes the issuance of up to 1,100,000 shares of Class A common stock, 690,000 shares of Class B common stock and 20,000 shares of preferred stock, each having a par value of $0.0001 per share. The number of shares of Class B common stock authorized is reduced for redemptions and forfeitures as they occur.</w:t>
      </w:r>
    </w:p>
    <w:p>
      <w:pPr>
        <w:spacing w:after="0" w:line="138"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The Company’s amended and restated certificate of incorporation and the GoHealth Holdings, LLC Agreement require that the Company and GoHealth Holdings, LLC at all times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GoHealth Holdings, LLC Agreement require that the Company and GoHealth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spacing w:after="0" w:line="149"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our Class B common stock are not entitled to participate in any dividends declared by our Board of Directors. Under the terms of the Company’s amended and restated certificate of incorporation, the Company’s Board of Directors is authorized to direct the Company to issue 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The Continuing Equity Owners may, subject to certain exceptions, from time to time at each of their options require GoHealth Holdings,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GoHealth Holdings, LLC Agreement.</w:t>
      </w:r>
    </w:p>
    <w:p>
      <w:pPr>
        <w:spacing w:after="0" w:line="155"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three and six months ended June 30, 2022 were 61.5% and 62.6%, respectively. The non-controlling interest holders' weighted average ownership percentages for the three and six months ended June 30, 2021 were 68.1% and 69.7%, respectively.</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6. SHARE-BASED COMPENSATION PLANS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share-based compensation expense by operating function for the periods presented: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15</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4"/>
        </w:trPr>
        <w:tc>
          <w:tcPr>
            <w:tcW w:w="5540" w:type="dxa"/>
            <w:vAlign w:val="bottom"/>
          </w:tcPr>
          <w:p>
            <w:pPr>
              <w:spacing w:after="0"/>
              <w:rPr>
                <w:sz w:val="13"/>
                <w:szCs w:val="13"/>
                <w:color w:val="auto"/>
              </w:rPr>
            </w:pPr>
          </w:p>
        </w:tc>
        <w:tc>
          <w:tcPr>
            <w:tcW w:w="216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1"/>
                <w:szCs w:val="11"/>
                <w:b w:val="1"/>
                <w:bCs w:val="1"/>
                <w:color w:val="auto"/>
              </w:rPr>
              <w:t>Three months ended Jun. 30,</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1"/>
                <w:szCs w:val="11"/>
                <w:b w:val="1"/>
                <w:bCs w:val="1"/>
                <w:color w:val="auto"/>
              </w:rPr>
              <w:t>Six months ended Jun. 30,</w:t>
            </w:r>
          </w:p>
        </w:tc>
      </w:tr>
      <w:tr>
        <w:trPr>
          <w:trHeight w:val="15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r>
      <w:tr>
        <w:trPr>
          <w:trHeight w:val="150"/>
        </w:trPr>
        <w:tc>
          <w:tcPr>
            <w:tcW w:w="5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Marketing and advertising</w:t>
            </w:r>
          </w:p>
        </w:tc>
        <w:tc>
          <w:tcPr>
            <w:tcW w:w="800" w:type="dxa"/>
            <w:vAlign w:val="bottom"/>
            <w:shd w:val="clear" w:color="auto" w:fill="CCEEFF"/>
          </w:tcPr>
          <w:p>
            <w:pPr>
              <w:jc w:val="right"/>
              <w:ind w:right="686"/>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3"/>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764</w:t>
            </w:r>
          </w:p>
        </w:tc>
      </w:tr>
      <w:tr>
        <w:trPr>
          <w:trHeight w:val="156"/>
        </w:trPr>
        <w:tc>
          <w:tcPr>
            <w:tcW w:w="5540" w:type="dxa"/>
            <w:vAlign w:val="bottom"/>
          </w:tcPr>
          <w:p>
            <w:pPr>
              <w:ind w:left="20"/>
              <w:spacing w:after="0"/>
              <w:rPr>
                <w:sz w:val="20"/>
                <w:szCs w:val="20"/>
                <w:color w:val="auto"/>
              </w:rPr>
            </w:pPr>
            <w:r>
              <w:rPr>
                <w:rFonts w:ascii="Arial" w:cs="Arial" w:eastAsia="Arial" w:hAnsi="Arial"/>
                <w:sz w:val="11"/>
                <w:szCs w:val="11"/>
                <w:color w:val="auto"/>
              </w:rPr>
              <w:t>Customer care and enrollment</w:t>
            </w: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624</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1,043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1,255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1,839</w:t>
            </w:r>
          </w:p>
        </w:tc>
      </w:tr>
      <w:tr>
        <w:trPr>
          <w:trHeight w:val="162"/>
        </w:trPr>
        <w:tc>
          <w:tcPr>
            <w:tcW w:w="5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Technology</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627</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1,609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1,880</w:t>
            </w:r>
          </w:p>
        </w:tc>
      </w:tr>
      <w:tr>
        <w:trPr>
          <w:trHeight w:val="15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General and administrative</w:t>
            </w: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12,791</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4,997</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15,892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8,228</w:t>
            </w:r>
          </w:p>
        </w:tc>
      </w:tr>
      <w:tr>
        <w:trPr>
          <w:trHeight w:val="17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share-based compensation expense</w:t>
            </w:r>
          </w:p>
        </w:tc>
        <w:tc>
          <w:tcPr>
            <w:tcW w:w="80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14,257</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7,599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19,412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12,711</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2021 Employment Inducement Award Plan</w:t>
      </w:r>
    </w:p>
    <w:p>
      <w:pPr>
        <w:spacing w:after="0" w:line="169"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On December 19, 2021, the Board of Directors approved the adoption of the GoHealth, Inc. 2021 Employment Inducement Award Plan (as amended from time to time, the “Inducement Award Plan”). In accordance with Rule 5635(c)(4), awards under the Inducement Award Plan may only be made to a newly hired employee who has not previously been a member of the Board of Directors, or an employee who is being rehired following a bona fide period of non-employment by the Company or a subsidiary, as a material inducement to the employee’s entering into employment with the Company or its subsidiary. On June 3, 2022, the Company approved an amendment to the Inducement Award Plan, solely to increase the shares of the Company’s Class A common stock reserved for issuance from an aggregate of 4,000 Class A shares to an aggregate of 25,000 Class A shares.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Restricted Stock Units (“RSUs”)</w:t>
      </w:r>
    </w:p>
    <w:p>
      <w:pPr>
        <w:spacing w:after="0" w:line="169" w:lineRule="exact"/>
        <w:rPr>
          <w:sz w:val="20"/>
          <w:szCs w:val="20"/>
          <w:color w:val="auto"/>
        </w:rPr>
      </w:pPr>
    </w:p>
    <w:p>
      <w:pPr>
        <w:ind w:right="260"/>
        <w:spacing w:after="0" w:line="283" w:lineRule="auto"/>
        <w:rPr>
          <w:sz w:val="20"/>
          <w:szCs w:val="20"/>
          <w:color w:val="auto"/>
        </w:rPr>
      </w:pPr>
      <w:r>
        <w:rPr>
          <w:rFonts w:ascii="Arial" w:cs="Arial" w:eastAsia="Arial" w:hAnsi="Arial"/>
          <w:sz w:val="13"/>
          <w:szCs w:val="13"/>
          <w:color w:val="auto"/>
        </w:rPr>
        <w:t>On June 7, 2022, the Company granted, to certain of its executives, an aggregate of 7,667 shares of Class A common stock issuable pursuant to RSUs, all of which were fully vested on the date of grant. The Company recognized the grant-date fair value of these RSUs, or $6.3 million, as compensation expense on the date of grant.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Performance Stock Units (“PSUs”)</w:t>
      </w:r>
    </w:p>
    <w:p>
      <w:pPr>
        <w:spacing w:after="0" w:line="179"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On June 7, 2022, the Company granted, to certain of its executives, an aggregate of 2,917 shares of Class A common stock issuable pursuant to volume weighted average PSUs (“VWAPs”). The number of shares issued on the third anniversary of the date of grant is based on volume weighted average price performance over such three year period (“Three Year VWAP”) in the following percentages: (i) 50% if the Three Year VWAP is equal to or greater than $2.00 but less than $3.00; (ii) 100% if the Three Year VWAP is equal to or greater than $3.00 but less than $4.00; (iii) 150% if the Three Year VWAP is equal to or greater than $4.00 but less than $6.00; and (iv) 200% if the Three Year VWAP is equal to or greater than $6.00. The Company estimated the grant-date fair value of the awards subject to a market condition using a Monte Carlo simulation model, using the following weighted-average assumptions: risk-free interest rate of 2.9% and annualized volatility of 94.0%. The grant-date fair value of the VWAPs was $0.55. The Company recognizes the grant-date fair value of VWAPs as compensation expense on a straight-line basis over the three-year performance period.</w:t>
      </w:r>
    </w:p>
    <w:p>
      <w:pPr>
        <w:spacing w:after="0" w:line="149" w:lineRule="exact"/>
        <w:rPr>
          <w:sz w:val="20"/>
          <w:szCs w:val="20"/>
          <w:color w:val="auto"/>
        </w:rPr>
      </w:pPr>
    </w:p>
    <w:p>
      <w:pPr>
        <w:ind w:right="100"/>
        <w:spacing w:after="0" w:line="250" w:lineRule="auto"/>
        <w:rPr>
          <w:sz w:val="20"/>
          <w:szCs w:val="20"/>
          <w:color w:val="auto"/>
        </w:rPr>
      </w:pPr>
      <w:r>
        <w:rPr>
          <w:rFonts w:ascii="Arial" w:cs="Arial" w:eastAsia="Arial" w:hAnsi="Arial"/>
          <w:sz w:val="13"/>
          <w:szCs w:val="13"/>
          <w:color w:val="auto"/>
        </w:rPr>
        <w:t>During 2021, the Company granted to certain of its employees 489 shares of Class A common stock issuable pursuant to PSUs. The criteria for the market-based PSUs is based on the Company’s total shareholder return (“TSR”) relative to the TSR of the common stock of a pre-defined industry peer group. TSR is measured at the end of the performance period, which is generally the period commencing on the grant date and ending on the three-year anniversary of the grant date. Depending on the relative TSR achieved, the number of PSUs earned can vary from 0% of the target award to a maximum of 200% of the target award. The Company estimated the grant-date fair value of the awards subject to a market condition using a Monte Carlo simulation model, using the following weighted-average assumptions: risk-free interest rate of 0.2% and annualized volatility of 72.0%. The grant-date fair value of the PSUs was $22.17. The Company recognizes the grant-date fair value of PSUs as compensation expense on a straight-line basis over the three-year performance period.</w:t>
      </w:r>
    </w:p>
    <w:p>
      <w:pPr>
        <w:spacing w:after="0" w:line="158" w:lineRule="exact"/>
        <w:rPr>
          <w:sz w:val="20"/>
          <w:szCs w:val="20"/>
          <w:color w:val="auto"/>
        </w:rPr>
      </w:pPr>
    </w:p>
    <w:p>
      <w:pPr>
        <w:ind w:right="320"/>
        <w:spacing w:after="0" w:line="266" w:lineRule="auto"/>
        <w:rPr>
          <w:sz w:val="20"/>
          <w:szCs w:val="20"/>
          <w:color w:val="auto"/>
        </w:rPr>
      </w:pPr>
      <w:r>
        <w:rPr>
          <w:rFonts w:ascii="Arial" w:cs="Arial" w:eastAsia="Arial" w:hAnsi="Arial"/>
          <w:sz w:val="13"/>
          <w:szCs w:val="13"/>
          <w:color w:val="auto"/>
        </w:rPr>
        <w:t>For the three and six months ended June 30, 2022, the Company recorded share-based compensation expense related to PSUs of $0.2 million and $1.0 million, respectively. For the three and six months ended June 30, 2021, the Company recorded share-based compensation expense related to PSUs of $0.9 million and $1.4 million,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2020 Employee Stock Purchase Plan</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On July 7, 2020, the Company adopted the 2020 Employee Stock Purchase Plan (“2020 ESPP”), which became effective on the same date. The purpose of the 2020 ESPP is to provide the Company's eligible employees with an opportunity to purchase designated shares of the Company’s Class A common stock at a price equal to 85% of the lower of the closing price at the beginning or end of each offering period. During the three and six months ended June 30, 2022, the Company issued 662 shares of Class A common stock through the 2020 ESPP. During the three and six months ended June 30, 2021, the Company issued 50 shares of Class A common stock through the 2020 ESPP.</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16</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19" w:name="page20"/>
    <w:bookmarkEnd w:id="19"/>
    <w:p>
      <w:pPr>
        <w:ind w:right="220"/>
        <w:spacing w:after="0" w:line="266" w:lineRule="auto"/>
        <w:rPr>
          <w:sz w:val="20"/>
          <w:szCs w:val="20"/>
          <w:color w:val="auto"/>
        </w:rPr>
      </w:pPr>
      <w:r>
        <w:rPr>
          <w:rFonts w:ascii="Arial" w:cs="Arial" w:eastAsia="Arial" w:hAnsi="Arial"/>
          <w:sz w:val="13"/>
          <w:szCs w:val="13"/>
          <w:color w:val="auto"/>
        </w:rPr>
        <w:t>For the three and six months ended June 30, 2022, the Company recorded share-based compensation expense related to the 2020 ESPP of $0.1 million and $0.3 million, respectively. For the three and six months ended June 30, 2021, the Company recorded share-based compensation expense related to the 2020 ESPP of $0.1 million and $0.2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Appreciation Rights</w:t>
      </w:r>
    </w:p>
    <w:p>
      <w:pPr>
        <w:spacing w:after="0" w:line="169"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On June 6, 2022, the Founders were each awarded two stock appreciation rights ("SARs") under the 2020 Plan. The first SAR received by each Founder was granted on June 6, 2022, and the second SAR received by each Founder will be granted on or about June 1, 2023. Each SAR will be settled in cash with an aggregate grant date value equal to $1.5 million (the number of shares to be determined by dividing such value by the per share Black-Scholes valuation as of the date of grant), will have an exercise price equal to the fair market value of a share of the Company’s common stock on the date of grant and will be exercisable in full on the third anniversary of the date of grant. There is no future service requirement in connection with the SARs, and as such, the total initial fair value of the awards is recorded as expense at the time of the grant. The fair value of the SARs liability is revalued (marked-to-market) each reporting period using the Black-Scholes valuation model, based on the Company’s period-end stock price. SARs are liability-classified awards, and as such, are recorded within other long-term liabilities on the Condensed Consolidated Balance Sheet. For the three and six months ended June 30, 2022, the Company recorded $2.1 million of share-based compensation expense related to the SARs.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Option Repricing</w:t>
      </w:r>
    </w:p>
    <w:p>
      <w:pPr>
        <w:spacing w:after="0" w:line="169" w:lineRule="exact"/>
        <w:rPr>
          <w:sz w:val="20"/>
          <w:szCs w:val="20"/>
          <w:color w:val="auto"/>
        </w:rPr>
      </w:pPr>
    </w:p>
    <w:p>
      <w:pPr>
        <w:ind w:right="40"/>
        <w:spacing w:after="0" w:line="275" w:lineRule="auto"/>
        <w:rPr>
          <w:sz w:val="20"/>
          <w:szCs w:val="20"/>
          <w:color w:val="auto"/>
        </w:rPr>
      </w:pPr>
      <w:r>
        <w:rPr>
          <w:rFonts w:ascii="Arial" w:cs="Arial" w:eastAsia="Arial" w:hAnsi="Arial"/>
          <w:sz w:val="12"/>
          <w:szCs w:val="12"/>
          <w:color w:val="auto"/>
        </w:rPr>
        <w:t>On April 25, 2022 and in accordance with the terms of the GoHealth, Inc. 2020 Incentive Award Plan, the Board of Directors approved a stock option repricing (the “Repricing”) where the exercise price of each Relevant Option (as defined below) was reduced to $1.05 per share, the average trailing 20 trading day closing price of the Company’s Class A common stock as of market close on the day of board approval. “Relevant Options” are all outstanding stock options as of April 25, 2022 (vested or unvested) to acquire shares of the Company’s Class A common stock that were issued to currently employed employees prior to April 1, 2022, but excluding stock options granted to certain executive officers. Except for the reduction in the exercise price of the Relevant Options, all outstanding stock options will continue to remain outstanding in accordance with their current terms and conditions. As a result of the Repricing, the Company will record an incremental share-based compensation charge of $1.1 million, of which $0.3 million was recognized on the date of the Repricing and $0.8 million is recognized over the remaining term of the repriced options.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7. NET LOSS PER SHARE</w:t>
      </w:r>
    </w:p>
    <w:p>
      <w:pPr>
        <w:spacing w:after="0" w:line="169" w:lineRule="exact"/>
        <w:rPr>
          <w:sz w:val="20"/>
          <w:szCs w:val="20"/>
          <w:color w:val="auto"/>
        </w:rPr>
      </w:pPr>
    </w:p>
    <w:p>
      <w:pPr>
        <w:jc w:val="both"/>
        <w:ind w:right="80"/>
        <w:spacing w:after="0" w:line="261" w:lineRule="auto"/>
        <w:rPr>
          <w:sz w:val="20"/>
          <w:szCs w:val="20"/>
          <w:color w:val="auto"/>
        </w:rPr>
      </w:pPr>
      <w:r>
        <w:rPr>
          <w:rFonts w:ascii="Arial" w:cs="Arial" w:eastAsia="Arial" w:hAnsi="Arial"/>
          <w:sz w:val="13"/>
          <w:szCs w:val="13"/>
          <w:color w:val="auto"/>
        </w:rPr>
        <w:t>Basic loss per share is computed by dividing net loss attributable to GoHealth,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of the numerator and denominator used in the calculation of basic and diluted net loss per share of Class A common stock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gridSpan w:val="5"/>
          </w:tcPr>
          <w:p>
            <w:pPr>
              <w:ind w:left="240"/>
              <w:spacing w:after="0"/>
              <w:rPr>
                <w:sz w:val="20"/>
                <w:szCs w:val="20"/>
                <w:color w:val="auto"/>
              </w:rPr>
            </w:pPr>
            <w:r>
              <w:rPr>
                <w:rFonts w:ascii="Arial" w:cs="Arial" w:eastAsia="Arial" w:hAnsi="Arial"/>
                <w:sz w:val="11"/>
                <w:szCs w:val="11"/>
                <w:b w:val="1"/>
                <w:bCs w:val="1"/>
                <w:color w:val="auto"/>
              </w:rPr>
              <w:t>Three months ended Jun. 30,</w:t>
            </w:r>
          </w:p>
        </w:tc>
        <w:tc>
          <w:tcPr>
            <w:tcW w:w="300" w:type="dxa"/>
            <w:vAlign w:val="bottom"/>
          </w:tcPr>
          <w:p>
            <w:pPr>
              <w:spacing w:after="0"/>
              <w:rPr>
                <w:sz w:val="13"/>
                <w:szCs w:val="13"/>
                <w:color w:val="auto"/>
              </w:rPr>
            </w:pPr>
          </w:p>
        </w:tc>
        <w:tc>
          <w:tcPr>
            <w:tcW w:w="2300" w:type="dxa"/>
            <w:vAlign w:val="bottom"/>
            <w:gridSpan w:val="4"/>
          </w:tcPr>
          <w:p>
            <w:pPr>
              <w:jc w:val="right"/>
              <w:ind w:right="523"/>
              <w:spacing w:after="0"/>
              <w:rPr>
                <w:sz w:val="20"/>
                <w:szCs w:val="20"/>
                <w:color w:val="auto"/>
              </w:rPr>
            </w:pPr>
            <w:r>
              <w:rPr>
                <w:rFonts w:ascii="Arial" w:cs="Arial" w:eastAsia="Arial" w:hAnsi="Arial"/>
                <w:sz w:val="11"/>
                <w:szCs w:val="11"/>
                <w:b w:val="1"/>
                <w:bCs w:val="1"/>
                <w:color w:val="auto"/>
              </w:rPr>
              <w:t>Six months ended Jun. 30,</w:t>
            </w:r>
          </w:p>
        </w:tc>
      </w:tr>
      <w:tr>
        <w:trPr>
          <w:trHeight w:val="15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 except per share amounts)</w:t>
            </w: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2021</w:t>
            </w:r>
          </w:p>
        </w:tc>
      </w:tr>
      <w:tr>
        <w:trPr>
          <w:trHeight w:val="139"/>
        </w:trPr>
        <w:tc>
          <w:tcPr>
            <w:tcW w:w="590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Numerator:</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56"/>
        </w:trPr>
        <w:tc>
          <w:tcPr>
            <w:tcW w:w="5900" w:type="dxa"/>
            <w:vAlign w:val="bottom"/>
          </w:tcPr>
          <w:p>
            <w:pPr>
              <w:ind w:left="180"/>
              <w:spacing w:after="0"/>
              <w:rPr>
                <w:sz w:val="20"/>
                <w:szCs w:val="20"/>
                <w:color w:val="auto"/>
              </w:rPr>
            </w:pPr>
            <w:r>
              <w:rPr>
                <w:rFonts w:ascii="Arial" w:cs="Arial" w:eastAsia="Arial" w:hAnsi="Arial"/>
                <w:sz w:val="11"/>
                <w:szCs w:val="11"/>
                <w:color w:val="auto"/>
              </w:rPr>
              <w:t>Net loss</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(113,752)</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(39,221)</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(150,993)</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(46,481)</w:t>
            </w:r>
          </w:p>
        </w:tc>
      </w:tr>
      <w:tr>
        <w:trPr>
          <w:trHeight w:val="162"/>
        </w:trPr>
        <w:tc>
          <w:tcPr>
            <w:tcW w:w="5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Less: Net loss attributable to non-controlling interests</w:t>
            </w: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(69,933)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(27,217)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(93,691)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(32,390)</w:t>
            </w:r>
          </w:p>
        </w:tc>
      </w:tr>
      <w:tr>
        <w:trPr>
          <w:trHeight w:val="147"/>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loss attributable to GoHealth, Inc.</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(43,819)</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(12,004)</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(57,302)</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(14,091)</w:t>
            </w:r>
          </w:p>
        </w:tc>
      </w:tr>
      <w:tr>
        <w:trPr>
          <w:trHeight w:val="142"/>
        </w:trPr>
        <w:tc>
          <w:tcPr>
            <w:tcW w:w="590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Denominator:</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56"/>
        </w:trPr>
        <w:tc>
          <w:tcPr>
            <w:tcW w:w="5900" w:type="dxa"/>
            <w:vAlign w:val="bottom"/>
          </w:tcPr>
          <w:p>
            <w:pPr>
              <w:ind w:left="180"/>
              <w:spacing w:after="0"/>
              <w:rPr>
                <w:sz w:val="20"/>
                <w:szCs w:val="20"/>
                <w:color w:val="auto"/>
              </w:rPr>
            </w:pPr>
            <w:r>
              <w:rPr>
                <w:rFonts w:ascii="Arial" w:cs="Arial" w:eastAsia="Arial" w:hAnsi="Arial"/>
                <w:sz w:val="11"/>
                <w:szCs w:val="11"/>
                <w:color w:val="auto"/>
              </w:rPr>
              <w:t>Weighted-average shares of Class A common stock outstanding—basic</w:t>
            </w:r>
          </w:p>
        </w:tc>
        <w:tc>
          <w:tcPr>
            <w:tcW w:w="3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124,440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102,300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120,346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97,349</w:t>
            </w:r>
          </w:p>
        </w:tc>
      </w:tr>
      <w:tr>
        <w:trPr>
          <w:trHeight w:val="162"/>
        </w:trPr>
        <w:tc>
          <w:tcPr>
            <w:tcW w:w="5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Effect of dilutive securities</w:t>
            </w:r>
          </w:p>
        </w:tc>
        <w:tc>
          <w:tcPr>
            <w:tcW w:w="3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7"/>
        </w:trPr>
        <w:tc>
          <w:tcPr>
            <w:tcW w:w="59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Weighted-average shares of Class A common stock outstanding—diluted</w:t>
            </w: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124,440</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102,300</w:t>
            </w:r>
          </w:p>
        </w:tc>
        <w:tc>
          <w:tcPr>
            <w:tcW w:w="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120,346</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97,349</w:t>
            </w:r>
          </w:p>
        </w:tc>
      </w:tr>
      <w:tr>
        <w:trPr>
          <w:trHeight w:val="17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loss per share of Class A common stock—basic and diluted</w:t>
            </w: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(0.35)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(0.12)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(0.48)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(0.14)</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number of shares were excluded from the calculation of diluted loss per share because the effect of including such potentially dilutive shares would have been antidilutive: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Jun. 30,</w:t>
            </w:r>
          </w:p>
        </w:tc>
        <w:tc>
          <w:tcPr>
            <w:tcW w:w="10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198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right"/>
              <w:ind w:right="943"/>
              <w:spacing w:after="0"/>
              <w:rPr>
                <w:sz w:val="20"/>
                <w:szCs w:val="20"/>
                <w:color w:val="auto"/>
              </w:rPr>
            </w:pPr>
            <w:r>
              <w:rPr>
                <w:rFonts w:ascii="Arial" w:cs="Arial" w:eastAsia="Arial" w:hAnsi="Arial"/>
                <w:sz w:val="11"/>
                <w:szCs w:val="11"/>
                <w:b w:val="1"/>
                <w:bCs w:val="1"/>
                <w:color w:val="auto"/>
              </w:rPr>
              <w:t>2022</w:t>
            </w: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Class A common stock issuable pursuant to equity awards</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3800" w:type="dxa"/>
            <w:vAlign w:val="bottom"/>
            <w:tcBorders>
              <w:left w:val="single" w:sz="8" w:color="CCEEFF"/>
            </w:tcBorders>
            <w:gridSpan w:val="2"/>
            <w:shd w:val="clear" w:color="auto" w:fill="CCEEFF"/>
          </w:tcPr>
          <w:p>
            <w:pPr>
              <w:jc w:val="right"/>
              <w:ind w:right="443"/>
              <w:spacing w:after="0"/>
              <w:rPr>
                <w:sz w:val="20"/>
                <w:szCs w:val="20"/>
                <w:color w:val="auto"/>
              </w:rPr>
            </w:pPr>
            <w:r>
              <w:rPr>
                <w:rFonts w:ascii="Arial" w:cs="Arial" w:eastAsia="Arial" w:hAnsi="Arial"/>
                <w:sz w:val="11"/>
                <w:szCs w:val="11"/>
                <w:color w:val="auto"/>
              </w:rPr>
              <w:t>20,808</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60" w:type="dxa"/>
            <w:vAlign w:val="bottom"/>
          </w:tcPr>
          <w:p>
            <w:pPr>
              <w:ind w:left="20"/>
              <w:spacing w:after="0"/>
              <w:rPr>
                <w:sz w:val="20"/>
                <w:szCs w:val="20"/>
                <w:color w:val="auto"/>
              </w:rPr>
            </w:pPr>
            <w:r>
              <w:rPr>
                <w:rFonts w:ascii="Arial" w:cs="Arial" w:eastAsia="Arial" w:hAnsi="Arial"/>
                <w:sz w:val="11"/>
                <w:szCs w:val="11"/>
                <w:color w:val="auto"/>
              </w:rPr>
              <w:t>Class B common stock</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800" w:type="dxa"/>
            <w:vAlign w:val="bottom"/>
            <w:gridSpan w:val="2"/>
          </w:tcPr>
          <w:p>
            <w:pPr>
              <w:jc w:val="right"/>
              <w:ind w:right="443"/>
              <w:spacing w:after="0"/>
              <w:rPr>
                <w:sz w:val="20"/>
                <w:szCs w:val="20"/>
                <w:color w:val="auto"/>
              </w:rPr>
            </w:pPr>
            <w:r>
              <w:rPr>
                <w:rFonts w:ascii="Arial" w:cs="Arial" w:eastAsia="Arial" w:hAnsi="Arial"/>
                <w:sz w:val="11"/>
                <w:szCs w:val="11"/>
                <w:color w:val="auto"/>
              </w:rPr>
              <w:t>197,547</w:t>
            </w: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215,495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560" w:type="dxa"/>
            <w:vAlign w:val="bottom"/>
            <w:vMerge w:val="restart"/>
          </w:tcPr>
          <w:p>
            <w:pPr>
              <w:ind w:left="340"/>
              <w:spacing w:after="0"/>
              <w:rPr>
                <w:sz w:val="20"/>
                <w:szCs w:val="20"/>
                <w:color w:val="auto"/>
              </w:rPr>
            </w:pPr>
            <w:r>
              <w:rPr>
                <w:rFonts w:ascii="Arial" w:cs="Arial" w:eastAsia="Arial" w:hAnsi="Arial"/>
                <w:sz w:val="11"/>
                <w:szCs w:val="11"/>
                <w:color w:val="auto"/>
              </w:rPr>
              <w:t>2022 Form 10-Q</w:t>
            </w:r>
          </w:p>
        </w:tc>
        <w:tc>
          <w:tcPr>
            <w:tcW w:w="1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vMerge w:val="continue"/>
          </w:tcPr>
          <w:p>
            <w:pPr>
              <w:spacing w:after="0"/>
              <w:rPr>
                <w:sz w:val="13"/>
                <w:szCs w:val="13"/>
                <w:color w:val="auto"/>
              </w:rPr>
            </w:pPr>
          </w:p>
        </w:tc>
        <w:tc>
          <w:tcPr>
            <w:tcW w:w="1980" w:type="dxa"/>
            <w:vAlign w:val="bottom"/>
            <w:tcBorders>
              <w:left w:val="single" w:sz="8" w:color="auto"/>
            </w:tcBorders>
          </w:tcPr>
          <w:p>
            <w:pPr>
              <w:jc w:val="right"/>
              <w:ind w:right="1723"/>
              <w:spacing w:after="0"/>
              <w:rPr>
                <w:sz w:val="20"/>
                <w:szCs w:val="20"/>
                <w:color w:val="auto"/>
              </w:rPr>
            </w:pPr>
            <w:r>
              <w:rPr>
                <w:rFonts w:ascii="Arial" w:cs="Arial" w:eastAsia="Arial" w:hAnsi="Arial"/>
                <w:sz w:val="11"/>
                <w:szCs w:val="11"/>
                <w:color w:val="auto"/>
              </w:rPr>
              <w:t>17</w:t>
            </w:r>
          </w:p>
        </w:tc>
        <w:tc>
          <w:tcPr>
            <w:tcW w:w="1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98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0" w:name="page21"/>
    <w:bookmarkEnd w:id="20"/>
    <w:p>
      <w:pPr>
        <w:ind w:right="420"/>
        <w:spacing w:after="0" w:line="266" w:lineRule="auto"/>
        <w:rPr>
          <w:sz w:val="20"/>
          <w:szCs w:val="20"/>
          <w:color w:val="auto"/>
        </w:rPr>
      </w:pPr>
      <w:r>
        <w:rPr>
          <w:rFonts w:ascii="Arial" w:cs="Arial" w:eastAsia="Arial" w:hAnsi="Arial"/>
          <w:sz w:val="13"/>
          <w:szCs w:val="13"/>
          <w:color w:val="auto"/>
        </w:rPr>
        <w:t>Shares of Class B common stock do not share in earnings and are not participating securities. Accordingly, separate presentation of loss per share of Class B common stock under the two-class method has not been presented.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8. INCOME TAXES</w:t>
      </w:r>
    </w:p>
    <w:p>
      <w:pPr>
        <w:spacing w:after="0" w:line="169" w:lineRule="exact"/>
        <w:rPr>
          <w:sz w:val="20"/>
          <w:szCs w:val="20"/>
          <w:color w:val="auto"/>
        </w:rPr>
      </w:pPr>
    </w:p>
    <w:p>
      <w:pPr>
        <w:ind w:right="200"/>
        <w:spacing w:after="0" w:line="250" w:lineRule="auto"/>
        <w:rPr>
          <w:sz w:val="20"/>
          <w:szCs w:val="20"/>
          <w:color w:val="auto"/>
        </w:rPr>
      </w:pPr>
      <w:r>
        <w:rPr>
          <w:rFonts w:ascii="Arial" w:cs="Arial" w:eastAsia="Arial" w:hAnsi="Arial"/>
          <w:sz w:val="13"/>
          <w:szCs w:val="13"/>
          <w:color w:val="auto"/>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and the subsidiaries of GHH, LLC are limited liability companies for income tax purposes except for a subsidiary and its foreign subsidiary, which are taxed as a corporation and foreign disregarded entity, respectively. As such, GHH, LLC does not pay any federal income taxes, as income or loss is included in the tax returns of the individual members. Additionally, certain wholly-owned entities taxed as corporations are subject to federal, state, and foreign income taxes in the jurisdictions in which they operate, and accruals for such taxes are included in the Condensed Consolidated Financial Statements.</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The Company’s effective tax rate for the three and six months ended June 30, 2022 was 0.00% and (0.31)%, respectively. The Company’s effective tax rate for the three and six months ended June 30, 2021 was 0.08% and 0.14%, respectively. The effective tax rate for each period is lower than the statutory tax rate primarily due to the effect of loss entities for which the Company excludes from its annual effective tax rate calculation and loss attributable to non-controlling interests.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Receivable Agreement</w:t>
      </w:r>
    </w:p>
    <w:p>
      <w:pPr>
        <w:spacing w:after="0" w:line="169" w:lineRule="exact"/>
        <w:rPr>
          <w:sz w:val="20"/>
          <w:szCs w:val="20"/>
          <w:color w:val="auto"/>
        </w:rPr>
      </w:pPr>
    </w:p>
    <w:p>
      <w:pPr>
        <w:ind w:right="80"/>
        <w:spacing w:after="0" w:line="254" w:lineRule="auto"/>
        <w:rPr>
          <w:sz w:val="20"/>
          <w:szCs w:val="20"/>
          <w:color w:val="auto"/>
        </w:rPr>
      </w:pPr>
      <w:r>
        <w:rPr>
          <w:rFonts w:ascii="Arial" w:cs="Arial" w:eastAsia="Arial" w:hAnsi="Arial"/>
          <w:sz w:val="13"/>
          <w:szCs w:val="13"/>
          <w:color w:val="auto"/>
        </w:rPr>
        <w:t>In connection with the IPO, the Company entered into a Tax Receivable Agreement with GHH, LLC, the Continuing Equity Owners and the Blocker Shareholders (the “TRA”), which provides for the payment by the Company to the Continuing Equity Owners and the Blocker Shareholders of 85% of the amount of tax benefits, if any, that the Company actually realizes (or in some circumstances is deemed to realize). The amounts payable under the TRA vary depending upon a number of factors, including the amount, character, and timing of the taxable income of the Company in the future. As of June 30, 2022, the Company has determined there is no resulting liability related to the TRA. Should the Company determine that the TRA liability will be considered probable at a future date based on new information, any changes will be recorded within income from continuing operations at that time.</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9. REVENUE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 for Variable Consideration</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The Company’s variable consideration includes the total estimated lifetime value (“LTV”) it expects to receive for selling an insurance product after the carrier approves an application. The consideration is variable based on the amount of time it estimates a policy will remain in force, which is based on historical experience or carrier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 Due to lower persistency observed during the three and six months ended June 30, 2022 and declining LTV estimates, the Company applied an incremental LTV constraint to all Medicare policies sold in the first and second quarters of 2022.</w:t>
      </w:r>
    </w:p>
    <w:p>
      <w:pPr>
        <w:spacing w:after="0" w:line="158" w:lineRule="exact"/>
        <w:rPr>
          <w:sz w:val="20"/>
          <w:szCs w:val="20"/>
          <w:color w:val="auto"/>
        </w:rPr>
      </w:pPr>
    </w:p>
    <w:p>
      <w:pPr>
        <w:ind w:right="40"/>
        <w:spacing w:after="0" w:line="272" w:lineRule="auto"/>
        <w:rPr>
          <w:sz w:val="20"/>
          <w:szCs w:val="20"/>
          <w:color w:val="auto"/>
        </w:rPr>
      </w:pPr>
      <w:r>
        <w:rPr>
          <w:rFonts w:ascii="Arial" w:cs="Arial" w:eastAsia="Arial" w:hAnsi="Arial"/>
          <w:sz w:val="12"/>
          <w:szCs w:val="12"/>
          <w:color w:val="auto"/>
        </w:rPr>
        <w:t>On a quarterly basis, the Company re-estimates LTV at a vintage level for outstanding vintages, reviews and monitors changes in the data used to estimate LTV, as well as the cash received for each vintage as compared to the original estimates. The difference between cash received for each vintage and the respective estimated LTV can be significant and may or may not be indicative of the need to adjust revenue for prior period vintages.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For the three and six months ended June 30, 2022, the Company recorded negative revenue adjustments of $3.6 million and $6.2 million, respectively, for changes in estimates relating to performance obligations satisfied in prior periods. For the three and six months ended June 30, 2021, the Company recorded a negative revenue adjustment of $1.4 million and $3.6 million, respectively, relating to performance obligations satisfied in prior periods.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Disaggregation of Revenue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color w:val="auto"/>
        </w:rPr>
        <w:t>The table below depicts the disaggregation of revenue by product, and is consistent with how the Company evaluates its financial performance: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5"/>
          </w:tcPr>
          <w:p>
            <w:pPr>
              <w:ind w:left="240"/>
              <w:spacing w:after="0"/>
              <w:rPr>
                <w:sz w:val="20"/>
                <w:szCs w:val="20"/>
                <w:color w:val="auto"/>
              </w:rPr>
            </w:pPr>
            <w:r>
              <w:rPr>
                <w:rFonts w:ascii="Arial" w:cs="Arial" w:eastAsia="Arial" w:hAnsi="Arial"/>
                <w:sz w:val="11"/>
                <w:szCs w:val="11"/>
                <w:b w:val="1"/>
                <w:bCs w:val="1"/>
                <w:color w:val="auto"/>
              </w:rPr>
              <w:t>Three months ended Jun. 30,</w:t>
            </w:r>
          </w:p>
        </w:tc>
        <w:tc>
          <w:tcPr>
            <w:tcW w:w="280" w:type="dxa"/>
            <w:vAlign w:val="bottom"/>
          </w:tcPr>
          <w:p>
            <w:pPr>
              <w:spacing w:after="0"/>
              <w:rPr>
                <w:sz w:val="13"/>
                <w:szCs w:val="13"/>
                <w:color w:val="auto"/>
              </w:rPr>
            </w:pPr>
          </w:p>
        </w:tc>
        <w:tc>
          <w:tcPr>
            <w:tcW w:w="2300" w:type="dxa"/>
            <w:vAlign w:val="bottom"/>
            <w:gridSpan w:val="4"/>
          </w:tcPr>
          <w:p>
            <w:pPr>
              <w:jc w:val="right"/>
              <w:ind w:right="523"/>
              <w:spacing w:after="0"/>
              <w:rPr>
                <w:sz w:val="20"/>
                <w:szCs w:val="20"/>
                <w:color w:val="auto"/>
              </w:rPr>
            </w:pPr>
            <w:r>
              <w:rPr>
                <w:rFonts w:ascii="Arial" w:cs="Arial" w:eastAsia="Arial" w:hAnsi="Arial"/>
                <w:sz w:val="11"/>
                <w:szCs w:val="11"/>
                <w:b w:val="1"/>
                <w:bCs w:val="1"/>
                <w:color w:val="auto"/>
              </w:rPr>
              <w:t>Six months ended Jun. 30,</w:t>
            </w:r>
          </w:p>
        </w:tc>
      </w:tr>
      <w:tr>
        <w:trPr>
          <w:trHeight w:val="15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r>
      <w:tr>
        <w:trPr>
          <w:trHeight w:val="139"/>
        </w:trPr>
        <w:tc>
          <w:tcPr>
            <w:tcW w:w="59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Commission revenue:</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6"/>
        </w:trPr>
        <w:tc>
          <w:tcPr>
            <w:tcW w:w="5960" w:type="dxa"/>
            <w:vAlign w:val="bottom"/>
          </w:tcPr>
          <w:p>
            <w:pPr>
              <w:ind w:left="180"/>
              <w:spacing w:after="0"/>
              <w:rPr>
                <w:sz w:val="20"/>
                <w:szCs w:val="20"/>
                <w:color w:val="auto"/>
              </w:rPr>
            </w:pPr>
            <w:r>
              <w:rPr>
                <w:rFonts w:ascii="Arial" w:cs="Arial" w:eastAsia="Arial" w:hAnsi="Arial"/>
                <w:sz w:val="11"/>
                <w:szCs w:val="11"/>
                <w:i w:val="1"/>
                <w:iCs w:val="1"/>
                <w:color w:val="auto"/>
              </w:rPr>
              <w:t>Medicare: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59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Medicare Advantage</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115,494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144,039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322,128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312,187</w:t>
            </w:r>
          </w:p>
        </w:tc>
      </w:tr>
      <w:tr>
        <w:trPr>
          <w:trHeight w:val="156"/>
        </w:trPr>
        <w:tc>
          <w:tcPr>
            <w:tcW w:w="5960" w:type="dxa"/>
            <w:vAlign w:val="bottom"/>
          </w:tcPr>
          <w:p>
            <w:pPr>
              <w:ind w:left="360"/>
              <w:spacing w:after="0"/>
              <w:rPr>
                <w:sz w:val="20"/>
                <w:szCs w:val="20"/>
                <w:color w:val="auto"/>
              </w:rPr>
            </w:pPr>
            <w:r>
              <w:rPr>
                <w:rFonts w:ascii="Arial" w:cs="Arial" w:eastAsia="Arial" w:hAnsi="Arial"/>
                <w:sz w:val="11"/>
                <w:szCs w:val="11"/>
                <w:color w:val="auto"/>
              </w:rPr>
              <w:t>Medicare Supplement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91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789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403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1,573</w:t>
            </w:r>
          </w:p>
        </w:tc>
      </w:tr>
      <w:tr>
        <w:trPr>
          <w:trHeight w:val="162"/>
        </w:trPr>
        <w:tc>
          <w:tcPr>
            <w:tcW w:w="59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Prescription Drug Plans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978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2,232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1,041</w:t>
            </w:r>
          </w:p>
        </w:tc>
      </w:tr>
      <w:tr>
        <w:trPr>
          <w:trHeight w:val="147"/>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Medicare</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116,563</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145,316</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324,763</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314,801</w:t>
            </w:r>
          </w:p>
        </w:tc>
      </w:tr>
      <w:tr>
        <w:trPr>
          <w:trHeight w:val="142"/>
        </w:trPr>
        <w:tc>
          <w:tcPr>
            <w:tcW w:w="5960" w:type="dxa"/>
            <w:vAlign w:val="bottom"/>
            <w:shd w:val="clear" w:color="auto" w:fill="CCEEFF"/>
          </w:tcPr>
          <w:p>
            <w:pPr>
              <w:ind w:left="180"/>
              <w:spacing w:after="0"/>
              <w:rPr>
                <w:sz w:val="20"/>
                <w:szCs w:val="20"/>
                <w:color w:val="auto"/>
              </w:rPr>
            </w:pPr>
            <w:r>
              <w:rPr>
                <w:rFonts w:ascii="Arial" w:cs="Arial" w:eastAsia="Arial" w:hAnsi="Arial"/>
                <w:sz w:val="11"/>
                <w:szCs w:val="11"/>
                <w:i w:val="1"/>
                <w:iCs w:val="1"/>
                <w:color w:val="auto"/>
              </w:rPr>
              <w:t>Individual and Family Plan:</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6"/>
        </w:trPr>
        <w:tc>
          <w:tcPr>
            <w:tcW w:w="5960" w:type="dxa"/>
            <w:vAlign w:val="bottom"/>
          </w:tcPr>
          <w:p>
            <w:pPr>
              <w:ind w:left="360"/>
              <w:spacing w:after="0"/>
              <w:rPr>
                <w:sz w:val="20"/>
                <w:szCs w:val="20"/>
                <w:color w:val="auto"/>
              </w:rPr>
            </w:pPr>
            <w:r>
              <w:rPr>
                <w:rFonts w:ascii="Arial" w:cs="Arial" w:eastAsia="Arial" w:hAnsi="Arial"/>
                <w:sz w:val="11"/>
                <w:szCs w:val="11"/>
                <w:color w:val="auto"/>
              </w:rPr>
              <w:t>Fixed Indemnity</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175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808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556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3,589</w:t>
            </w:r>
          </w:p>
        </w:tc>
      </w:tr>
      <w:tr>
        <w:trPr>
          <w:trHeight w:val="162"/>
        </w:trPr>
        <w:tc>
          <w:tcPr>
            <w:tcW w:w="59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Short-term</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619</w:t>
            </w:r>
          </w:p>
        </w:tc>
      </w:tr>
      <w:tr>
        <w:trPr>
          <w:trHeight w:val="156"/>
        </w:trPr>
        <w:tc>
          <w:tcPr>
            <w:tcW w:w="5960" w:type="dxa"/>
            <w:vAlign w:val="bottom"/>
          </w:tcPr>
          <w:p>
            <w:pPr>
              <w:ind w:left="360"/>
              <w:spacing w:after="0"/>
              <w:rPr>
                <w:sz w:val="20"/>
                <w:szCs w:val="20"/>
                <w:color w:val="auto"/>
              </w:rPr>
            </w:pPr>
            <w:r>
              <w:rPr>
                <w:rFonts w:ascii="Arial" w:cs="Arial" w:eastAsia="Arial" w:hAnsi="Arial"/>
                <w:sz w:val="11"/>
                <w:szCs w:val="11"/>
                <w:color w:val="auto"/>
              </w:rPr>
              <w:t>Major Medical</w:t>
            </w:r>
          </w:p>
        </w:tc>
        <w:tc>
          <w:tcPr>
            <w:tcW w:w="30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208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409</w:t>
            </w:r>
          </w:p>
        </w:tc>
      </w:tr>
      <w:tr>
        <w:trPr>
          <w:trHeight w:val="153"/>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Individual and Family Plan</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285</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1,235</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909</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4,617</w:t>
            </w:r>
          </w:p>
        </w:tc>
      </w:tr>
      <w:tr>
        <w:trPr>
          <w:trHeight w:val="147"/>
        </w:trPr>
        <w:tc>
          <w:tcPr>
            <w:tcW w:w="5960" w:type="dxa"/>
            <w:vAlign w:val="bottom"/>
          </w:tcPr>
          <w:p>
            <w:pPr>
              <w:ind w:left="20"/>
              <w:spacing w:after="0"/>
              <w:rPr>
                <w:sz w:val="20"/>
                <w:szCs w:val="20"/>
                <w:color w:val="auto"/>
              </w:rPr>
            </w:pPr>
            <w:r>
              <w:rPr>
                <w:rFonts w:ascii="Arial" w:cs="Arial" w:eastAsia="Arial" w:hAnsi="Arial"/>
                <w:sz w:val="11"/>
                <w:szCs w:val="11"/>
                <w:color w:val="auto"/>
              </w:rPr>
              <w:t>Ancillary</w:t>
            </w:r>
          </w:p>
        </w:tc>
        <w:tc>
          <w:tcPr>
            <w:tcW w:w="30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1,189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891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2,000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1,999</w:t>
            </w:r>
          </w:p>
        </w:tc>
      </w:tr>
      <w:tr>
        <w:trPr>
          <w:trHeight w:val="162"/>
        </w:trPr>
        <w:tc>
          <w:tcPr>
            <w:tcW w:w="5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Small Group</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w:t>
            </w:r>
          </w:p>
        </w:tc>
      </w:tr>
      <w:tr>
        <w:trPr>
          <w:trHeight w:val="147"/>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commission revenue</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118,038</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147,508</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327,677</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321,489</w:t>
            </w:r>
          </w:p>
        </w:tc>
      </w:tr>
      <w:tr>
        <w:trPr>
          <w:trHeight w:val="142"/>
        </w:trPr>
        <w:tc>
          <w:tcPr>
            <w:tcW w:w="59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Enterprise revenue:</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6"/>
        </w:trPr>
        <w:tc>
          <w:tcPr>
            <w:tcW w:w="5960" w:type="dxa"/>
            <w:vAlign w:val="bottom"/>
          </w:tcPr>
          <w:p>
            <w:pPr>
              <w:ind w:left="180"/>
              <w:spacing w:after="0"/>
              <w:rPr>
                <w:sz w:val="20"/>
                <w:szCs w:val="20"/>
                <w:color w:val="auto"/>
              </w:rPr>
            </w:pPr>
            <w:r>
              <w:rPr>
                <w:rFonts w:ascii="Arial" w:cs="Arial" w:eastAsia="Arial" w:hAnsi="Arial"/>
                <w:sz w:val="11"/>
                <w:szCs w:val="11"/>
                <w:color w:val="auto"/>
              </w:rPr>
              <w:t>Partner Marketing and Enrollment Services</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23,797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42,531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64,460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64,388</w:t>
            </w:r>
          </w:p>
        </w:tc>
      </w:tr>
      <w:tr>
        <w:trPr>
          <w:trHeight w:val="162"/>
        </w:trPr>
        <w:tc>
          <w:tcPr>
            <w:tcW w:w="5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Direct Partner Campaigns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14,366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34,482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14,802</w:t>
            </w:r>
          </w:p>
        </w:tc>
      </w:tr>
      <w:tr>
        <w:trPr>
          <w:trHeight w:val="156"/>
        </w:trPr>
        <w:tc>
          <w:tcPr>
            <w:tcW w:w="59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2,453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2,628</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402</w:t>
            </w:r>
          </w:p>
        </w:tc>
      </w:tr>
      <w:tr>
        <w:trPr>
          <w:trHeight w:val="150"/>
        </w:trPr>
        <w:tc>
          <w:tcPr>
            <w:tcW w:w="5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enterprise revenue</w:t>
            </w: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40,616</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49,394</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101,570</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79,592</w:t>
            </w:r>
          </w:p>
        </w:tc>
      </w:tr>
      <w:tr>
        <w:trPr>
          <w:trHeight w:val="153"/>
        </w:trPr>
        <w:tc>
          <w:tcPr>
            <w:tcW w:w="5960" w:type="dxa"/>
            <w:vAlign w:val="bottom"/>
          </w:tcPr>
          <w:p>
            <w:pPr>
              <w:ind w:left="20"/>
              <w:spacing w:after="0"/>
              <w:rPr>
                <w:sz w:val="20"/>
                <w:szCs w:val="20"/>
                <w:color w:val="auto"/>
              </w:rPr>
            </w:pPr>
            <w:r>
              <w:rPr>
                <w:rFonts w:ascii="Arial" w:cs="Arial" w:eastAsia="Arial" w:hAnsi="Arial"/>
                <w:sz w:val="11"/>
                <w:szCs w:val="11"/>
                <w:b w:val="1"/>
                <w:bCs w:val="1"/>
                <w:color w:val="auto"/>
              </w:rPr>
              <w:t>Net revenues</w:t>
            </w: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158,654</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196,902</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429,247</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401,081</w:t>
            </w: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 Assets and Liabilities</w:t>
      </w:r>
    </w:p>
    <w:p>
      <w:pPr>
        <w:spacing w:after="0" w:line="169"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The Company records contract assets and contract liabilities from contracts with customers as it relates to commissions receivable, commissions payable and deferred revenue. Commissions receivable represents estimated variable consideration for commissions to be received from insurance carriers for performance obligations that have been satisfied. Commissions payable represents estimated commissions to be paid to the Company’s external agents and other partners. Deferred revenue includes amounts collected for partner marketing and enrollment services and technology licensing and implementation fees in advance of the Company satisfying its performance obligations for such customers. The Company had unbilled receivables for performance-based enrollment fees as of June 30, 2022 and December 31, 2021 of $3.3 million and $20.1 million, respectively, which are recorded in prepaid expenses and other current assets on the Condensed Consolidated Balance Sheets. There are no other contract assets or contract liabilities recorded by the Company.</w:t>
      </w:r>
    </w:p>
    <w:p>
      <w:pPr>
        <w:spacing w:after="0" w:line="158" w:lineRule="exact"/>
        <w:rPr>
          <w:sz w:val="20"/>
          <w:szCs w:val="20"/>
          <w:color w:val="auto"/>
        </w:rPr>
      </w:pPr>
    </w:p>
    <w:p>
      <w:pPr>
        <w:ind w:right="240"/>
        <w:spacing w:after="0" w:line="266" w:lineRule="auto"/>
        <w:rPr>
          <w:sz w:val="20"/>
          <w:szCs w:val="20"/>
          <w:color w:val="auto"/>
        </w:rPr>
      </w:pPr>
      <w:r>
        <w:rPr>
          <w:rFonts w:ascii="Arial" w:cs="Arial" w:eastAsia="Arial" w:hAnsi="Arial"/>
          <w:sz w:val="13"/>
          <w:szCs w:val="13"/>
          <w:color w:val="auto"/>
        </w:rPr>
        <w:t>For both the three and six months ended June 30, 2022, the Company recognized $0.1 million of revenue that was deferred as of December 31, 2021. For the three and six months ended June 30, 2021, the Company recognized $26 thousand and $0.1 million, respectively, of revenue that was deferred as of December 31, 2020.</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Commissions Receivable</w:t>
      </w:r>
    </w:p>
    <w:p>
      <w:pPr>
        <w:spacing w:after="0" w:line="169"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Our contracts with carriers expose us to credit risk as a financial loss could be incurred if the counterparty does not fulfill its financial obligation. While we are exposed to credit losses due to the potential non-performance of our counterparties, we consider the risk of this remote. We estimate our maximum credit risk in determining the commissions receivable amount recorded on the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Commissions receivable activity is summarized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 30,</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Beginning balance</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86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1,262,507</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809,859</w:t>
            </w: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Commission revenue</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327,677</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321,489</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receipts</w:t>
            </w:r>
          </w:p>
        </w:tc>
        <w:tc>
          <w:tcPr>
            <w:tcW w:w="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(429,605)</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(257,814)</w:t>
            </w:r>
          </w:p>
        </w:tc>
        <w:tc>
          <w:tcPr>
            <w:tcW w:w="0" w:type="dxa"/>
            <w:vAlign w:val="bottom"/>
          </w:tcPr>
          <w:p>
            <w:pPr>
              <w:spacing w:after="0"/>
              <w:rPr>
                <w:sz w:val="1"/>
                <w:szCs w:val="1"/>
                <w:color w:val="auto"/>
              </w:rPr>
            </w:pPr>
          </w:p>
        </w:tc>
      </w:tr>
      <w:tr>
        <w:trPr>
          <w:trHeight w:val="156"/>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Allowance for credit loss</w:t>
            </w:r>
          </w:p>
        </w:tc>
        <w:tc>
          <w:tcPr>
            <w:tcW w:w="2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67</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5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Ending balance</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86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1,160,646</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43"/>
              <w:spacing w:after="0"/>
              <w:rPr>
                <w:sz w:val="20"/>
                <w:szCs w:val="20"/>
                <w:color w:val="auto"/>
              </w:rPr>
            </w:pPr>
            <w:r>
              <w:rPr>
                <w:rFonts w:ascii="Arial" w:cs="Arial" w:eastAsia="Arial" w:hAnsi="Arial"/>
                <w:sz w:val="11"/>
                <w:szCs w:val="11"/>
                <w:b w:val="1"/>
                <w:bCs w:val="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873,492</w:t>
            </w:r>
          </w:p>
        </w:tc>
        <w:tc>
          <w:tcPr>
            <w:tcW w:w="0" w:type="dxa"/>
            <w:vAlign w:val="bottom"/>
          </w:tcPr>
          <w:p>
            <w:pPr>
              <w:spacing w:after="0"/>
              <w:rPr>
                <w:sz w:val="1"/>
                <w:szCs w:val="1"/>
                <w:color w:val="auto"/>
              </w:rPr>
            </w:pPr>
          </w:p>
        </w:tc>
      </w:tr>
      <w:tr>
        <w:trPr>
          <w:trHeight w:val="14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Commissions receivable - current</w:t>
            </w:r>
          </w:p>
        </w:tc>
        <w:tc>
          <w:tcPr>
            <w:tcW w:w="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198,647</w:t>
            </w:r>
          </w:p>
        </w:tc>
        <w:tc>
          <w:tcPr>
            <w:tcW w:w="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113,062</w:t>
            </w:r>
          </w:p>
        </w:tc>
        <w:tc>
          <w:tcPr>
            <w:tcW w:w="0" w:type="dxa"/>
            <w:vAlign w:val="bottom"/>
          </w:tcPr>
          <w:p>
            <w:pPr>
              <w:spacing w:after="0"/>
              <w:rPr>
                <w:sz w:val="1"/>
                <w:szCs w:val="1"/>
                <w:color w:val="auto"/>
              </w:rPr>
            </w:pPr>
          </w:p>
        </w:tc>
      </w:tr>
      <w:tr>
        <w:trPr>
          <w:trHeight w:val="17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Commissions receivable - non-current</w:t>
            </w:r>
          </w:p>
        </w:tc>
        <w:tc>
          <w:tcPr>
            <w:tcW w:w="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86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961,999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760,430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1"/>
                <w:szCs w:val="11"/>
                <w:color w:val="auto"/>
              </w:rPr>
              <w:t>2022 Form 10-Q</w:t>
            </w:r>
          </w:p>
        </w:tc>
        <w:tc>
          <w:tcPr>
            <w:tcW w:w="1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vMerge w:val="continue"/>
          </w:tcPr>
          <w:p>
            <w:pPr>
              <w:spacing w:after="0"/>
              <w:rPr>
                <w:sz w:val="13"/>
                <w:szCs w:val="13"/>
                <w:color w:val="auto"/>
              </w:rPr>
            </w:pPr>
          </w:p>
        </w:tc>
        <w:tc>
          <w:tcPr>
            <w:tcW w:w="1460" w:type="dxa"/>
            <w:vAlign w:val="bottom"/>
            <w:tcBorders>
              <w:left w:val="single" w:sz="8" w:color="auto"/>
            </w:tcBorders>
          </w:tcPr>
          <w:p>
            <w:pPr>
              <w:jc w:val="right"/>
              <w:ind w:right="1203"/>
              <w:spacing w:after="0"/>
              <w:rPr>
                <w:sz w:val="20"/>
                <w:szCs w:val="20"/>
                <w:color w:val="auto"/>
              </w:rPr>
            </w:pPr>
            <w:r>
              <w:rPr>
                <w:rFonts w:ascii="Arial" w:cs="Arial" w:eastAsia="Arial" w:hAnsi="Arial"/>
                <w:sz w:val="11"/>
                <w:szCs w:val="11"/>
                <w:color w:val="auto"/>
              </w:rPr>
              <w:t>19</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color w:val="00497F"/>
        </w:rPr>
        <w:t>10. LEASES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Effect of Standard Adoption</w:t>
      </w:r>
    </w:p>
    <w:p>
      <w:pPr>
        <w:spacing w:after="0" w:line="179" w:lineRule="exact"/>
        <w:rPr>
          <w:sz w:val="20"/>
          <w:szCs w:val="20"/>
          <w:color w:val="auto"/>
        </w:rPr>
      </w:pPr>
    </w:p>
    <w:p>
      <w:pPr>
        <w:ind w:right="180"/>
        <w:spacing w:after="0" w:line="281" w:lineRule="auto"/>
        <w:rPr>
          <w:sz w:val="20"/>
          <w:szCs w:val="20"/>
          <w:color w:val="auto"/>
        </w:rPr>
      </w:pPr>
      <w:r>
        <w:rPr>
          <w:rFonts w:ascii="Arial" w:cs="Arial" w:eastAsia="Arial" w:hAnsi="Arial"/>
          <w:sz w:val="12"/>
          <w:szCs w:val="12"/>
          <w:color w:val="auto"/>
        </w:rPr>
        <w:t xml:space="preserve">We adopted ASU 2016-02,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(Topic 842), effective January 1, 2021, using the optional transition method which allows entities to continue to apply historical accounting guidance in the comparative periods presented in the year of adoption. We elected the package of practical expedients permitted under the transition guidance within Accounting Standards Codification Topic 842 ("ASC 842") which, among other items, allowed us to carry forward the historical lease classifications. As such, we applied the modified retrospective approach as of the adoption date to those lease contracts for which we have taken possession of the property as of January 1, 2021. Results for reporting periods beginning on or after January 1, 2021 are presented under ASC 842.</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Upon transition, on January 1, 2021, we recorded the following increases (decreases) to the respective line items on the Consolidated Balance Sheet: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964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164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1"/>
                <w:szCs w:val="11"/>
                <w:b w:val="1"/>
                <w:bCs w:val="1"/>
                <w:color w:val="auto"/>
              </w:rPr>
              <w:t>Adjustment as of January 1,</w:t>
            </w:r>
          </w:p>
        </w:tc>
        <w:tc>
          <w:tcPr>
            <w:tcW w:w="0" w:type="dxa"/>
            <w:vAlign w:val="bottom"/>
          </w:tcPr>
          <w:p>
            <w:pPr>
              <w:spacing w:after="0"/>
              <w:rPr>
                <w:sz w:val="1"/>
                <w:szCs w:val="1"/>
                <w:color w:val="auto"/>
              </w:rPr>
            </w:pPr>
          </w:p>
        </w:tc>
      </w:tr>
      <w:tr>
        <w:trPr>
          <w:trHeight w:val="149"/>
        </w:trPr>
        <w:tc>
          <w:tcPr>
            <w:tcW w:w="9640" w:type="dxa"/>
            <w:vAlign w:val="bottom"/>
            <w:tcBorders>
              <w:bottom w:val="single" w:sz="8" w:color="CCEEFF"/>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50"/>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ROU asset</w:t>
            </w: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28,044</w:t>
            </w:r>
          </w:p>
        </w:tc>
        <w:tc>
          <w:tcPr>
            <w:tcW w:w="0" w:type="dxa"/>
            <w:vAlign w:val="bottom"/>
          </w:tcPr>
          <w:p>
            <w:pPr>
              <w:spacing w:after="0"/>
              <w:rPr>
                <w:sz w:val="1"/>
                <w:szCs w:val="1"/>
                <w:color w:val="auto"/>
              </w:rPr>
            </w:pPr>
          </w:p>
        </w:tc>
      </w:tr>
      <w:tr>
        <w:trPr>
          <w:trHeight w:val="156"/>
        </w:trPr>
        <w:tc>
          <w:tcPr>
            <w:tcW w:w="9640" w:type="dxa"/>
            <w:vAlign w:val="bottom"/>
          </w:tcPr>
          <w:p>
            <w:pPr>
              <w:ind w:left="20"/>
              <w:spacing w:after="0"/>
              <w:rPr>
                <w:sz w:val="20"/>
                <w:szCs w:val="20"/>
                <w:color w:val="auto"/>
              </w:rPr>
            </w:pPr>
            <w:r>
              <w:rPr>
                <w:rFonts w:ascii="Arial" w:cs="Arial" w:eastAsia="Arial" w:hAnsi="Arial"/>
                <w:sz w:val="11"/>
                <w:szCs w:val="11"/>
                <w:color w:val="auto"/>
              </w:rPr>
              <w:t>Property, equipment and capitalized software, net</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62"/>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Short-term operating lease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5,118</w:t>
            </w:r>
          </w:p>
        </w:tc>
        <w:tc>
          <w:tcPr>
            <w:tcW w:w="0" w:type="dxa"/>
            <w:vAlign w:val="bottom"/>
          </w:tcPr>
          <w:p>
            <w:pPr>
              <w:spacing w:after="0"/>
              <w:rPr>
                <w:sz w:val="1"/>
                <w:szCs w:val="1"/>
                <w:color w:val="auto"/>
              </w:rPr>
            </w:pPr>
          </w:p>
        </w:tc>
      </w:tr>
      <w:tr>
        <w:trPr>
          <w:trHeight w:val="156"/>
        </w:trPr>
        <w:tc>
          <w:tcPr>
            <w:tcW w:w="9640" w:type="dxa"/>
            <w:vAlign w:val="bottom"/>
          </w:tcPr>
          <w:p>
            <w:pPr>
              <w:ind w:left="20"/>
              <w:spacing w:after="0"/>
              <w:rPr>
                <w:sz w:val="20"/>
                <w:szCs w:val="20"/>
                <w:color w:val="auto"/>
              </w:rPr>
            </w:pPr>
            <w:r>
              <w:rPr>
                <w:rFonts w:ascii="Arial" w:cs="Arial" w:eastAsia="Arial" w:hAnsi="Arial"/>
                <w:sz w:val="11"/>
                <w:szCs w:val="11"/>
                <w:color w:val="auto"/>
              </w:rPr>
              <w:t>Other current liabilities</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(1,231)</w:t>
            </w:r>
          </w:p>
        </w:tc>
        <w:tc>
          <w:tcPr>
            <w:tcW w:w="0" w:type="dxa"/>
            <w:vAlign w:val="bottom"/>
          </w:tcPr>
          <w:p>
            <w:pPr>
              <w:spacing w:after="0"/>
              <w:rPr>
                <w:sz w:val="1"/>
                <w:szCs w:val="1"/>
                <w:color w:val="auto"/>
              </w:rPr>
            </w:pPr>
          </w:p>
        </w:tc>
      </w:tr>
      <w:tr>
        <w:trPr>
          <w:trHeight w:val="162"/>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Long-term operating lease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24,156</w:t>
            </w:r>
          </w:p>
        </w:tc>
        <w:tc>
          <w:tcPr>
            <w:tcW w:w="0" w:type="dxa"/>
            <w:vAlign w:val="bottom"/>
          </w:tcPr>
          <w:p>
            <w:pPr>
              <w:spacing w:after="0"/>
              <w:rPr>
                <w:sz w:val="1"/>
                <w:szCs w:val="1"/>
                <w:color w:val="auto"/>
              </w:rPr>
            </w:pPr>
          </w:p>
        </w:tc>
      </w:tr>
      <w:tr>
        <w:trPr>
          <w:trHeight w:val="156"/>
        </w:trPr>
        <w:tc>
          <w:tcPr>
            <w:tcW w:w="9640" w:type="dxa"/>
            <w:vAlign w:val="bottom"/>
          </w:tcPr>
          <w:p>
            <w:pPr>
              <w:ind w:left="20"/>
              <w:spacing w:after="0"/>
              <w:rPr>
                <w:sz w:val="20"/>
                <w:szCs w:val="20"/>
                <w:color w:val="auto"/>
              </w:rPr>
            </w:pPr>
            <w:r>
              <w:rPr>
                <w:rFonts w:ascii="Arial" w:cs="Arial" w:eastAsia="Arial" w:hAnsi="Arial"/>
                <w:sz w:val="11"/>
                <w:szCs w:val="11"/>
                <w:color w:val="auto"/>
              </w:rPr>
              <w:t>Accumulated deficit</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2"/>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Non-controlling interests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Nature of Leases</w:t>
      </w:r>
    </w:p>
    <w:p>
      <w:pPr>
        <w:spacing w:after="0" w:line="179"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color w:val="auto"/>
        </w:rPr>
        <w:t>Under ASC 842, we determine if an arrangement is a lease at inception of the arrangement. We have entered into operating and finance lease agreements with lease periods expiring between 2022 and 2032. Operating leases primarily consist of real estate and data centers, and finance leases primarily consist of office equipment.</w:t>
      </w:r>
    </w:p>
    <w:p>
      <w:pPr>
        <w:spacing w:after="0" w:line="146"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As of January 1, 2021, with the adoption of ASC 842, leases are included in operating lease right-of-use (“ROU”) assets and lease liabilities on our Condensed Consolidated Balance Sheets. Operating lease ROU assets and lease liabilities are recognized at the lease commencement date. Operating lease ROU assets represent our right to use an underlying asset and are based upon the lease liabilities adjusted for prepayments or accrued lease payments, initial direct costs, lease incentives, and impairment of operating lease assets. Lease liabilities represent the present value of lease payments over the lease term. The implicit rate within each lease is not readily determinable and therefore we use our incremental borrowing rate at the lease commencement date to determine the present value of the lease payments. The determination of the incremental borrowing rate requires judgement. We determined our incremental borrowing rate for each lease using indicative bank borrowing rates, adjusted for various factors including level of collateralization, term and treasury yield curves to align with the terms of the respective lease.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elected the following practical expedients for all classes of leased assets:</w:t>
      </w:r>
    </w:p>
    <w:p>
      <w:pPr>
        <w:spacing w:after="0" w:line="169"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Adopt the short-term lease exception for leases with terms of twelve months or less and account for them as if they were operating leases under ASC 840; and</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Apply the practical expedient of combining lease and non-lease components.</w:t>
      </w:r>
    </w:p>
    <w:p>
      <w:pPr>
        <w:spacing w:after="0" w:line="169" w:lineRule="exact"/>
        <w:rPr>
          <w:sz w:val="20"/>
          <w:szCs w:val="20"/>
          <w:color w:val="auto"/>
        </w:rPr>
      </w:pPr>
    </w:p>
    <w:p>
      <w:pPr>
        <w:ind w:right="460"/>
        <w:spacing w:after="0" w:line="261" w:lineRule="auto"/>
        <w:rPr>
          <w:sz w:val="20"/>
          <w:szCs w:val="20"/>
          <w:color w:val="auto"/>
        </w:rPr>
      </w:pPr>
      <w:r>
        <w:rPr>
          <w:rFonts w:ascii="Arial" w:cs="Arial" w:eastAsia="Arial" w:hAnsi="Arial"/>
          <w:sz w:val="13"/>
          <w:szCs w:val="13"/>
          <w:color w:val="auto"/>
        </w:rPr>
        <w:t>Our lease terms may include options to extend or terminate the lease when it is reasonably certain that we will exercise that option. We do not include any renewal options in the lease terms for calculating lease liability, as the renewal options allow us to maintain operational flexibility and we are not reasonably certain that we will exercise these renewal options at the time of lease commencement.</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Lease expense for operating lease payments is recognized on a straight-line basis over the lease term.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Components of lease expense are as follows, all recorded within operating expenses in the Condensed Consolidated Statement of Operations: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54"/>
        </w:trPr>
        <w:tc>
          <w:tcPr>
            <w:tcW w:w="4460" w:type="dxa"/>
            <w:vAlign w:val="bottom"/>
          </w:tcPr>
          <w:p>
            <w:pPr>
              <w:spacing w:after="0"/>
              <w:rPr>
                <w:sz w:val="13"/>
                <w:szCs w:val="13"/>
                <w:color w:val="auto"/>
              </w:rPr>
            </w:pPr>
          </w:p>
        </w:tc>
        <w:tc>
          <w:tcPr>
            <w:tcW w:w="284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1"/>
                <w:szCs w:val="11"/>
                <w:b w:val="1"/>
                <w:bCs w:val="1"/>
                <w:color w:val="auto"/>
              </w:rPr>
              <w:t>Three months ended Jun. 30,</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 30,</w:t>
            </w:r>
          </w:p>
        </w:tc>
        <w:tc>
          <w:tcPr>
            <w:tcW w:w="960" w:type="dxa"/>
            <w:vAlign w:val="bottom"/>
            <w:tcBorders>
              <w:bottom w:val="single" w:sz="8" w:color="auto"/>
            </w:tcBorders>
          </w:tcPr>
          <w:p>
            <w:pPr>
              <w:spacing w:after="0"/>
              <w:rPr>
                <w:sz w:val="13"/>
                <w:szCs w:val="13"/>
                <w:color w:val="auto"/>
              </w:rPr>
            </w:pPr>
          </w:p>
        </w:tc>
      </w:tr>
      <w:tr>
        <w:trPr>
          <w:trHeight w:val="15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w w:val="97"/>
              </w:rPr>
              <w:t>2021</w:t>
            </w:r>
          </w:p>
        </w:tc>
      </w:tr>
      <w:tr>
        <w:trPr>
          <w:trHeight w:val="150"/>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Finance lease cost (1)</w:t>
            </w:r>
          </w:p>
        </w:tc>
        <w:tc>
          <w:tcPr>
            <w:tcW w:w="1120" w:type="dxa"/>
            <w:vAlign w:val="bottom"/>
            <w:shd w:val="clear" w:color="auto" w:fill="CCEEFF"/>
          </w:tcPr>
          <w:p>
            <w:pPr>
              <w:jc w:val="right"/>
              <w:ind w:right="983"/>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983"/>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43"/>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w:t>
            </w:r>
          </w:p>
        </w:tc>
      </w:tr>
      <w:tr>
        <w:trPr>
          <w:trHeight w:val="156"/>
        </w:trPr>
        <w:tc>
          <w:tcPr>
            <w:tcW w:w="4460" w:type="dxa"/>
            <w:vAlign w:val="bottom"/>
          </w:tcPr>
          <w:p>
            <w:pPr>
              <w:ind w:left="20"/>
              <w:spacing w:after="0"/>
              <w:rPr>
                <w:sz w:val="20"/>
                <w:szCs w:val="20"/>
                <w:color w:val="auto"/>
              </w:rPr>
            </w:pPr>
            <w:r>
              <w:rPr>
                <w:rFonts w:ascii="Arial" w:cs="Arial" w:eastAsia="Arial" w:hAnsi="Arial"/>
                <w:sz w:val="11"/>
                <w:szCs w:val="11"/>
                <w:color w:val="auto"/>
              </w:rPr>
              <w:t>Operating lease cost</w:t>
            </w:r>
          </w:p>
        </w:tc>
        <w:tc>
          <w:tcPr>
            <w:tcW w:w="112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2,055</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1,707</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4,002</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3,503</w:t>
            </w:r>
          </w:p>
        </w:tc>
      </w:tr>
      <w:tr>
        <w:trPr>
          <w:trHeight w:val="162"/>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Short-term lease cost (2)</w:t>
            </w:r>
          </w:p>
        </w:tc>
        <w:tc>
          <w:tcPr>
            <w:tcW w:w="1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170</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253</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r>
      <w:tr>
        <w:trPr>
          <w:trHeight w:val="156"/>
        </w:trPr>
        <w:tc>
          <w:tcPr>
            <w:tcW w:w="4460" w:type="dxa"/>
            <w:vAlign w:val="bottom"/>
          </w:tcPr>
          <w:p>
            <w:pPr>
              <w:ind w:left="20"/>
              <w:spacing w:after="0"/>
              <w:rPr>
                <w:sz w:val="20"/>
                <w:szCs w:val="20"/>
                <w:color w:val="auto"/>
              </w:rPr>
            </w:pPr>
            <w:r>
              <w:rPr>
                <w:rFonts w:ascii="Arial" w:cs="Arial" w:eastAsia="Arial" w:hAnsi="Arial"/>
                <w:sz w:val="11"/>
                <w:szCs w:val="11"/>
                <w:color w:val="auto"/>
              </w:rPr>
              <w:t>Variable lease cost (3)</w:t>
            </w:r>
          </w:p>
        </w:tc>
        <w:tc>
          <w:tcPr>
            <w:tcW w:w="112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137</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77</w:t>
            </w:r>
          </w:p>
        </w:tc>
      </w:tr>
      <w:tr>
        <w:trPr>
          <w:trHeight w:val="15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Sublease income</w:t>
            </w:r>
          </w:p>
        </w:tc>
        <w:tc>
          <w:tcPr>
            <w:tcW w:w="1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(549)</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4460" w:type="dxa"/>
            <w:vAlign w:val="bottom"/>
          </w:tcPr>
          <w:p>
            <w:pPr>
              <w:ind w:left="20"/>
              <w:spacing w:after="0"/>
              <w:rPr>
                <w:sz w:val="20"/>
                <w:szCs w:val="20"/>
                <w:color w:val="auto"/>
              </w:rPr>
            </w:pPr>
            <w:r>
              <w:rPr>
                <w:rFonts w:ascii="Arial" w:cs="Arial" w:eastAsia="Arial" w:hAnsi="Arial"/>
                <w:sz w:val="11"/>
                <w:szCs w:val="11"/>
                <w:b w:val="1"/>
                <w:bCs w:val="1"/>
                <w:color w:val="auto"/>
              </w:rPr>
              <w:t>Total net lease expense</w:t>
            </w:r>
          </w:p>
        </w:tc>
        <w:tc>
          <w:tcPr>
            <w:tcW w:w="1120" w:type="dxa"/>
            <w:vAlign w:val="bottom"/>
            <w:tcBorders>
              <w:top w:val="single" w:sz="8" w:color="auto"/>
              <w:bottom w:val="single" w:sz="8" w:color="auto"/>
            </w:tcBorders>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2,085</w:t>
            </w:r>
          </w:p>
        </w:tc>
        <w:tc>
          <w:tcPr>
            <w:tcW w:w="8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1,943</w:t>
            </w:r>
          </w:p>
        </w:tc>
        <w:tc>
          <w:tcPr>
            <w:tcW w:w="8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843"/>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3,945</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3,986</w:t>
            </w:r>
          </w:p>
        </w:tc>
      </w:tr>
      <w:tr>
        <w:trPr>
          <w:trHeight w:val="20"/>
        </w:trPr>
        <w:tc>
          <w:tcPr>
            <w:tcW w:w="4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20" w:right="560" w:hanging="260"/>
        <w:spacing w:after="0" w:line="261" w:lineRule="auto"/>
        <w:tabs>
          <w:tab w:leader="none" w:pos="510" w:val="left"/>
        </w:tabs>
        <w:numPr>
          <w:ilvl w:val="0"/>
          <w:numId w:val="10"/>
        </w:numPr>
        <w:rPr>
          <w:rFonts w:ascii="Arial" w:cs="Arial" w:eastAsia="Arial" w:hAnsi="Arial"/>
          <w:sz w:val="11"/>
          <w:szCs w:val="11"/>
          <w:i w:val="1"/>
          <w:iCs w:val="1"/>
          <w:color w:val="auto"/>
        </w:rPr>
      </w:pPr>
      <w:r>
        <w:rPr>
          <w:rFonts w:ascii="Arial" w:cs="Arial" w:eastAsia="Arial" w:hAnsi="Arial"/>
          <w:sz w:val="11"/>
          <w:szCs w:val="11"/>
          <w:i w:val="1"/>
          <w:iCs w:val="1"/>
          <w:color w:val="auto"/>
        </w:rPr>
        <w:t>Primarily consists of amortization of finance lease right-of-use assets and an immaterial amount of interest on finance lease liabilities recorded in operating expenses and interest expense in the condensed consolidated statements of operations.</w:t>
      </w:r>
    </w:p>
    <w:p>
      <w:pPr>
        <w:ind w:left="500" w:hanging="240"/>
        <w:spacing w:after="0"/>
        <w:tabs>
          <w:tab w:leader="none" w:pos="500" w:val="left"/>
        </w:tabs>
        <w:numPr>
          <w:ilvl w:val="0"/>
          <w:numId w:val="10"/>
        </w:numPr>
        <w:rPr>
          <w:rFonts w:ascii="Arial" w:cs="Arial" w:eastAsia="Arial" w:hAnsi="Arial"/>
          <w:sz w:val="11"/>
          <w:szCs w:val="11"/>
          <w:i w:val="1"/>
          <w:iCs w:val="1"/>
          <w:color w:val="auto"/>
        </w:rPr>
      </w:pPr>
      <w:r>
        <w:rPr>
          <w:rFonts w:ascii="Arial" w:cs="Arial" w:eastAsia="Arial" w:hAnsi="Arial"/>
          <w:sz w:val="11"/>
          <w:szCs w:val="11"/>
          <w:i w:val="1"/>
          <w:iCs w:val="1"/>
          <w:color w:val="auto"/>
        </w:rPr>
        <w:t>Includes costs related to leases, which at the commencement date, have a lease term of 12 months or less.</w:t>
      </w:r>
    </w:p>
    <w:p>
      <w:pPr>
        <w:spacing w:after="0" w:line="11" w:lineRule="exact"/>
        <w:rPr>
          <w:rFonts w:ascii="Arial" w:cs="Arial" w:eastAsia="Arial" w:hAnsi="Arial"/>
          <w:sz w:val="11"/>
          <w:szCs w:val="11"/>
          <w:i w:val="1"/>
          <w:iCs w:val="1"/>
          <w:color w:val="auto"/>
        </w:rPr>
      </w:pPr>
    </w:p>
    <w:p>
      <w:pPr>
        <w:ind w:left="500" w:hanging="240"/>
        <w:spacing w:after="0"/>
        <w:tabs>
          <w:tab w:leader="none" w:pos="500" w:val="left"/>
        </w:tabs>
        <w:numPr>
          <w:ilvl w:val="0"/>
          <w:numId w:val="10"/>
        </w:numPr>
        <w:rPr>
          <w:rFonts w:ascii="Arial" w:cs="Arial" w:eastAsia="Arial" w:hAnsi="Arial"/>
          <w:sz w:val="11"/>
          <w:szCs w:val="11"/>
          <w:i w:val="1"/>
          <w:iCs w:val="1"/>
          <w:color w:val="auto"/>
        </w:rPr>
      </w:pPr>
      <w:r>
        <w:rPr>
          <w:rFonts w:ascii="Arial" w:cs="Arial" w:eastAsia="Arial" w:hAnsi="Arial"/>
          <w:sz w:val="11"/>
          <w:szCs w:val="11"/>
          <w:i w:val="1"/>
          <w:iCs w:val="1"/>
          <w:color w:val="auto"/>
        </w:rPr>
        <w:t>Includes costs made by the Company for the right to use an underlying asset that vary because of changes in facts or circumstances occurring after the commencement date, other than the passage of time.</w:t>
      </w:r>
    </w:p>
    <w:p>
      <w:pPr>
        <w:spacing w:after="0" w:line="188" w:lineRule="exact"/>
        <w:rPr>
          <w:sz w:val="20"/>
          <w:szCs w:val="20"/>
          <w:color w:val="auto"/>
        </w:rPr>
      </w:pPr>
    </w:p>
    <w:p>
      <w:pPr>
        <w:ind w:right="240"/>
        <w:spacing w:after="0" w:line="261" w:lineRule="auto"/>
        <w:rPr>
          <w:sz w:val="20"/>
          <w:szCs w:val="20"/>
          <w:color w:val="auto"/>
        </w:rPr>
      </w:pPr>
      <w:r>
        <w:rPr>
          <w:rFonts w:ascii="Arial" w:cs="Arial" w:eastAsia="Arial" w:hAnsi="Arial"/>
          <w:sz w:val="13"/>
          <w:szCs w:val="13"/>
          <w:color w:val="auto"/>
        </w:rPr>
        <w:t>As part of the Company’s continued cost savings initiatives, the Company is actively looking to terminate or sublease certain office spaces and call centers. These actions resulted in a $25.0 million operating lease impairment charge for the three and six months ended June 30, 2022, reducing the carrying value of the associated ROU assets and leasehold improvements to the estimated fair values. Refer to Note 2 “Fair Value Measurements” for further details.</w:t>
      </w:r>
    </w:p>
    <w:p>
      <w:pPr>
        <w:spacing w:after="0" w:line="138" w:lineRule="exact"/>
        <w:rPr>
          <w:sz w:val="20"/>
          <w:szCs w:val="20"/>
          <w:color w:val="auto"/>
        </w:rPr>
      </w:pPr>
    </w:p>
    <w:p>
      <w:pPr>
        <w:ind w:right="280"/>
        <w:spacing w:after="0" w:line="266" w:lineRule="auto"/>
        <w:rPr>
          <w:sz w:val="20"/>
          <w:szCs w:val="20"/>
          <w:color w:val="auto"/>
        </w:rPr>
      </w:pPr>
      <w:r>
        <w:rPr>
          <w:rFonts w:ascii="Arial" w:cs="Arial" w:eastAsia="Arial" w:hAnsi="Arial"/>
          <w:sz w:val="13"/>
          <w:szCs w:val="13"/>
          <w:color w:val="auto"/>
        </w:rPr>
        <w:t>On February 15, 2022, the Company entered into a lease agreement for a site in Slovakia related to our Slovakian operations. The lease is expected to commence on October 1, 2022 with a lease term through March 31, 2030. Annual rent payments are not expected to be material to the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As of June 30, 2022, future minimum lease payments for operating leases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Operating Leases</w:t>
            </w:r>
          </w:p>
        </w:tc>
        <w:tc>
          <w:tcPr>
            <w:tcW w:w="0" w:type="dxa"/>
            <w:vAlign w:val="bottom"/>
          </w:tcPr>
          <w:p>
            <w:pPr>
              <w:spacing w:after="0"/>
              <w:rPr>
                <w:sz w:val="1"/>
                <w:szCs w:val="1"/>
                <w:color w:val="auto"/>
              </w:rPr>
            </w:pPr>
          </w:p>
        </w:tc>
      </w:tr>
      <w:tr>
        <w:trPr>
          <w:trHeight w:val="150"/>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Remainder of 2022</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6,698</w:t>
            </w:r>
          </w:p>
        </w:tc>
        <w:tc>
          <w:tcPr>
            <w:tcW w:w="0" w:type="dxa"/>
            <w:vAlign w:val="bottom"/>
          </w:tcPr>
          <w:p>
            <w:pPr>
              <w:spacing w:after="0"/>
              <w:rPr>
                <w:sz w:val="1"/>
                <w:szCs w:val="1"/>
                <w:color w:val="auto"/>
              </w:rPr>
            </w:pPr>
          </w:p>
        </w:tc>
      </w:tr>
      <w:tr>
        <w:trPr>
          <w:trHeight w:val="156"/>
        </w:trPr>
        <w:tc>
          <w:tcPr>
            <w:tcW w:w="9640" w:type="dxa"/>
            <w:vAlign w:val="bottom"/>
          </w:tcPr>
          <w:p>
            <w:pPr>
              <w:ind w:left="20"/>
              <w:spacing w:after="0"/>
              <w:rPr>
                <w:sz w:val="20"/>
                <w:szCs w:val="20"/>
                <w:color w:val="auto"/>
              </w:rPr>
            </w:pPr>
            <w:r>
              <w:rPr>
                <w:rFonts w:ascii="Arial" w:cs="Arial" w:eastAsia="Arial" w:hAnsi="Arial"/>
                <w:sz w:val="11"/>
                <w:szCs w:val="11"/>
                <w:color w:val="auto"/>
              </w:rPr>
              <w:t>2023</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12,383</w:t>
            </w:r>
          </w:p>
        </w:tc>
        <w:tc>
          <w:tcPr>
            <w:tcW w:w="0" w:type="dxa"/>
            <w:vAlign w:val="bottom"/>
          </w:tcPr>
          <w:p>
            <w:pPr>
              <w:spacing w:after="0"/>
              <w:rPr>
                <w:sz w:val="1"/>
                <w:szCs w:val="1"/>
                <w:color w:val="auto"/>
              </w:rPr>
            </w:pPr>
          </w:p>
        </w:tc>
      </w:tr>
      <w:tr>
        <w:trPr>
          <w:trHeight w:val="162"/>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2024</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7,787</w:t>
            </w:r>
          </w:p>
        </w:tc>
        <w:tc>
          <w:tcPr>
            <w:tcW w:w="0" w:type="dxa"/>
            <w:vAlign w:val="bottom"/>
          </w:tcPr>
          <w:p>
            <w:pPr>
              <w:spacing w:after="0"/>
              <w:rPr>
                <w:sz w:val="1"/>
                <w:szCs w:val="1"/>
                <w:color w:val="auto"/>
              </w:rPr>
            </w:pPr>
          </w:p>
        </w:tc>
      </w:tr>
      <w:tr>
        <w:trPr>
          <w:trHeight w:val="156"/>
        </w:trPr>
        <w:tc>
          <w:tcPr>
            <w:tcW w:w="9640" w:type="dxa"/>
            <w:vAlign w:val="bottom"/>
          </w:tcPr>
          <w:p>
            <w:pPr>
              <w:ind w:left="20"/>
              <w:spacing w:after="0"/>
              <w:rPr>
                <w:sz w:val="20"/>
                <w:szCs w:val="20"/>
                <w:color w:val="auto"/>
              </w:rPr>
            </w:pPr>
            <w:r>
              <w:rPr>
                <w:rFonts w:ascii="Arial" w:cs="Arial" w:eastAsia="Arial" w:hAnsi="Arial"/>
                <w:sz w:val="11"/>
                <w:szCs w:val="11"/>
                <w:color w:val="auto"/>
              </w:rPr>
              <w:t>2025</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6,464</w:t>
            </w:r>
          </w:p>
        </w:tc>
        <w:tc>
          <w:tcPr>
            <w:tcW w:w="0" w:type="dxa"/>
            <w:vAlign w:val="bottom"/>
          </w:tcPr>
          <w:p>
            <w:pPr>
              <w:spacing w:after="0"/>
              <w:rPr>
                <w:sz w:val="1"/>
                <w:szCs w:val="1"/>
                <w:color w:val="auto"/>
              </w:rPr>
            </w:pPr>
          </w:p>
        </w:tc>
      </w:tr>
      <w:tr>
        <w:trPr>
          <w:trHeight w:val="162"/>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5,289</w:t>
            </w:r>
          </w:p>
        </w:tc>
        <w:tc>
          <w:tcPr>
            <w:tcW w:w="0" w:type="dxa"/>
            <w:vAlign w:val="bottom"/>
          </w:tcPr>
          <w:p>
            <w:pPr>
              <w:spacing w:after="0"/>
              <w:rPr>
                <w:sz w:val="1"/>
                <w:szCs w:val="1"/>
                <w:color w:val="auto"/>
              </w:rPr>
            </w:pPr>
          </w:p>
        </w:tc>
      </w:tr>
      <w:tr>
        <w:trPr>
          <w:trHeight w:val="156"/>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Thereafter</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31,145</w:t>
            </w:r>
          </w:p>
        </w:tc>
        <w:tc>
          <w:tcPr>
            <w:tcW w:w="0" w:type="dxa"/>
            <w:vAlign w:val="bottom"/>
          </w:tcPr>
          <w:p>
            <w:pPr>
              <w:spacing w:after="0"/>
              <w:rPr>
                <w:sz w:val="1"/>
                <w:szCs w:val="1"/>
                <w:color w:val="auto"/>
              </w:rPr>
            </w:pPr>
          </w:p>
        </w:tc>
      </w:tr>
      <w:tr>
        <w:trPr>
          <w:trHeight w:val="17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lease payments</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69,766</w:t>
            </w:r>
          </w:p>
        </w:tc>
        <w:tc>
          <w:tcPr>
            <w:tcW w:w="0" w:type="dxa"/>
            <w:vAlign w:val="bottom"/>
          </w:tcPr>
          <w:p>
            <w:pPr>
              <w:spacing w:after="0"/>
              <w:rPr>
                <w:sz w:val="1"/>
                <w:szCs w:val="1"/>
                <w:color w:val="auto"/>
              </w:rPr>
            </w:pPr>
          </w:p>
        </w:tc>
      </w:tr>
      <w:tr>
        <w:trPr>
          <w:trHeight w:val="20"/>
        </w:trPr>
        <w:tc>
          <w:tcPr>
            <w:tcW w:w="9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Less: Imputed interest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640" w:type="dxa"/>
            <w:vAlign w:val="bottom"/>
            <w:tcBorders>
              <w:bottom w:val="single" w:sz="8" w:color="CCEEFF"/>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(18,820)</w:t>
            </w:r>
          </w:p>
        </w:tc>
        <w:tc>
          <w:tcPr>
            <w:tcW w:w="0" w:type="dxa"/>
            <w:vAlign w:val="bottom"/>
          </w:tcPr>
          <w:p>
            <w:pPr>
              <w:spacing w:after="0"/>
              <w:rPr>
                <w:sz w:val="1"/>
                <w:szCs w:val="1"/>
                <w:color w:val="auto"/>
              </w:rPr>
            </w:pPr>
          </w:p>
        </w:tc>
      </w:tr>
      <w:tr>
        <w:trPr>
          <w:trHeight w:val="17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Present value of lease liabilities</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50,946</w:t>
            </w:r>
          </w:p>
        </w:tc>
        <w:tc>
          <w:tcPr>
            <w:tcW w:w="0" w:type="dxa"/>
            <w:vAlign w:val="bottom"/>
          </w:tcPr>
          <w:p>
            <w:pPr>
              <w:spacing w:after="0"/>
              <w:rPr>
                <w:sz w:val="1"/>
                <w:szCs w:val="1"/>
                <w:color w:val="auto"/>
              </w:rPr>
            </w:pP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Supplemental cash flow information related to leases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60" w:type="dxa"/>
            <w:vAlign w:val="bottom"/>
            <w:gridSpan w:val="4"/>
          </w:tcPr>
          <w:p>
            <w:pPr>
              <w:ind w:left="520"/>
              <w:spacing w:after="0"/>
              <w:rPr>
                <w:sz w:val="20"/>
                <w:szCs w:val="20"/>
                <w:color w:val="auto"/>
              </w:rPr>
            </w:pPr>
            <w:r>
              <w:rPr>
                <w:rFonts w:ascii="Arial" w:cs="Arial" w:eastAsia="Arial" w:hAnsi="Arial"/>
                <w:sz w:val="11"/>
                <w:szCs w:val="11"/>
                <w:b w:val="1"/>
                <w:bCs w:val="1"/>
                <w:color w:val="auto"/>
              </w:rPr>
              <w:t>Three months ended Jun. 30,</w:t>
            </w:r>
          </w:p>
        </w:tc>
        <w:tc>
          <w:tcPr>
            <w:tcW w:w="400" w:type="dxa"/>
            <w:vAlign w:val="bottom"/>
          </w:tcPr>
          <w:p>
            <w:pPr>
              <w:spacing w:after="0"/>
              <w:rPr>
                <w:sz w:val="13"/>
                <w:szCs w:val="13"/>
                <w:color w:val="auto"/>
              </w:rPr>
            </w:pPr>
          </w:p>
        </w:tc>
        <w:tc>
          <w:tcPr>
            <w:tcW w:w="202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 Jun. 30,</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2022</w:t>
            </w:r>
          </w:p>
        </w:tc>
        <w:tc>
          <w:tcPr>
            <w:tcW w:w="7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13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Cash paid for amounts included in the measurement of lease liabilities:</w:t>
            </w: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60" w:type="dxa"/>
            <w:vAlign w:val="bottom"/>
          </w:tcPr>
          <w:p>
            <w:pPr>
              <w:ind w:left="180"/>
              <w:spacing w:after="0"/>
              <w:rPr>
                <w:sz w:val="20"/>
                <w:szCs w:val="20"/>
                <w:color w:val="auto"/>
              </w:rPr>
            </w:pPr>
            <w:r>
              <w:rPr>
                <w:rFonts w:ascii="Arial" w:cs="Arial" w:eastAsia="Arial" w:hAnsi="Arial"/>
                <w:sz w:val="11"/>
                <w:szCs w:val="11"/>
                <w:color w:val="auto"/>
              </w:rPr>
              <w:t>Operating cash flows from operating leases</w:t>
            </w: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23"/>
              <w:spacing w:after="0"/>
              <w:rPr>
                <w:sz w:val="20"/>
                <w:szCs w:val="20"/>
                <w:color w:val="auto"/>
              </w:rPr>
            </w:pPr>
            <w:r>
              <w:rPr>
                <w:rFonts w:ascii="Arial" w:cs="Arial" w:eastAsia="Arial" w:hAnsi="Arial"/>
                <w:sz w:val="11"/>
                <w:szCs w:val="11"/>
                <w:color w:val="auto"/>
              </w:rPr>
              <w:t>2,054</w:t>
            </w:r>
          </w:p>
        </w:tc>
        <w:tc>
          <w:tcPr>
            <w:tcW w:w="44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1,630</w:t>
            </w:r>
          </w:p>
        </w:tc>
        <w:tc>
          <w:tcPr>
            <w:tcW w:w="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23"/>
              <w:spacing w:after="0"/>
              <w:rPr>
                <w:sz w:val="20"/>
                <w:szCs w:val="20"/>
                <w:color w:val="auto"/>
              </w:rPr>
            </w:pPr>
            <w:r>
              <w:rPr>
                <w:rFonts w:ascii="Arial" w:cs="Arial" w:eastAsia="Arial" w:hAnsi="Arial"/>
                <w:sz w:val="11"/>
                <w:szCs w:val="11"/>
                <w:color w:val="auto"/>
              </w:rPr>
              <w:t>3,886</w:t>
            </w:r>
          </w:p>
        </w:tc>
        <w:tc>
          <w:tcPr>
            <w:tcW w:w="740" w:type="dxa"/>
            <w:vAlign w:val="bottom"/>
          </w:tcPr>
          <w:p>
            <w:pPr>
              <w:jc w:val="right"/>
              <w:ind w:right="543"/>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3,248</w:t>
            </w:r>
          </w:p>
        </w:tc>
        <w:tc>
          <w:tcPr>
            <w:tcW w:w="0" w:type="dxa"/>
            <w:vAlign w:val="bottom"/>
          </w:tcPr>
          <w:p>
            <w:pPr>
              <w:spacing w:after="0"/>
              <w:rPr>
                <w:sz w:val="1"/>
                <w:szCs w:val="1"/>
                <w:color w:val="auto"/>
              </w:rPr>
            </w:pPr>
          </w:p>
        </w:tc>
      </w:tr>
      <w:tr>
        <w:trPr>
          <w:trHeight w:val="162"/>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Operating cash flows from finance leases</w:t>
            </w: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w:t>
            </w:r>
          </w:p>
        </w:tc>
        <w:tc>
          <w:tcPr>
            <w:tcW w:w="740" w:type="dxa"/>
            <w:vAlign w:val="bottom"/>
            <w:shd w:val="clear" w:color="auto" w:fill="CCEEFF"/>
          </w:tcPr>
          <w:p>
            <w:pPr>
              <w:jc w:val="right"/>
              <w:ind w:right="543"/>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6"/>
        </w:trPr>
        <w:tc>
          <w:tcPr>
            <w:tcW w:w="4460" w:type="dxa"/>
            <w:vAlign w:val="bottom"/>
          </w:tcPr>
          <w:p>
            <w:pPr>
              <w:ind w:left="180"/>
              <w:spacing w:after="0"/>
              <w:rPr>
                <w:sz w:val="20"/>
                <w:szCs w:val="20"/>
                <w:color w:val="auto"/>
              </w:rPr>
            </w:pPr>
            <w:r>
              <w:rPr>
                <w:rFonts w:ascii="Arial" w:cs="Arial" w:eastAsia="Arial" w:hAnsi="Arial"/>
                <w:sz w:val="11"/>
                <w:szCs w:val="11"/>
                <w:color w:val="auto"/>
              </w:rPr>
              <w:t>Financing cash flows from finance leases</w:t>
            </w: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23"/>
              <w:spacing w:after="0"/>
              <w:rPr>
                <w:sz w:val="20"/>
                <w:szCs w:val="20"/>
                <w:color w:val="auto"/>
              </w:rPr>
            </w:pPr>
            <w:r>
              <w:rPr>
                <w:rFonts w:ascii="Arial" w:cs="Arial" w:eastAsia="Arial" w:hAnsi="Arial"/>
                <w:sz w:val="11"/>
                <w:szCs w:val="11"/>
                <w:color w:val="auto"/>
              </w:rPr>
              <w:t>41</w:t>
            </w:r>
          </w:p>
        </w:tc>
        <w:tc>
          <w:tcPr>
            <w:tcW w:w="44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78</w:t>
            </w:r>
          </w:p>
        </w:tc>
        <w:tc>
          <w:tcPr>
            <w:tcW w:w="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23"/>
              <w:spacing w:after="0"/>
              <w:rPr>
                <w:sz w:val="20"/>
                <w:szCs w:val="20"/>
                <w:color w:val="auto"/>
              </w:rPr>
            </w:pPr>
            <w:r>
              <w:rPr>
                <w:rFonts w:ascii="Arial" w:cs="Arial" w:eastAsia="Arial" w:hAnsi="Arial"/>
                <w:sz w:val="11"/>
                <w:szCs w:val="11"/>
                <w:color w:val="auto"/>
              </w:rPr>
              <w:t>103</w:t>
            </w:r>
          </w:p>
        </w:tc>
        <w:tc>
          <w:tcPr>
            <w:tcW w:w="740" w:type="dxa"/>
            <w:vAlign w:val="bottom"/>
          </w:tcPr>
          <w:p>
            <w:pPr>
              <w:jc w:val="right"/>
              <w:ind w:right="543"/>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154</w:t>
            </w:r>
          </w:p>
        </w:tc>
        <w:tc>
          <w:tcPr>
            <w:tcW w:w="0" w:type="dxa"/>
            <w:vAlign w:val="bottom"/>
          </w:tcPr>
          <w:p>
            <w:pPr>
              <w:spacing w:after="0"/>
              <w:rPr>
                <w:sz w:val="1"/>
                <w:szCs w:val="1"/>
                <w:color w:val="auto"/>
              </w:rPr>
            </w:pPr>
          </w:p>
        </w:tc>
      </w:tr>
      <w:tr>
        <w:trPr>
          <w:trHeight w:val="162"/>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assets obtained in exchange for new lease obligations (1)</w:t>
            </w: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26,405</w:t>
            </w: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26,405</w:t>
            </w:r>
          </w:p>
        </w:tc>
        <w:tc>
          <w:tcPr>
            <w:tcW w:w="740" w:type="dxa"/>
            <w:vAlign w:val="bottom"/>
            <w:shd w:val="clear" w:color="auto" w:fill="CCEEFF"/>
          </w:tcPr>
          <w:p>
            <w:pPr>
              <w:jc w:val="right"/>
              <w:ind w:right="543"/>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4460" w:type="dxa"/>
            <w:vAlign w:val="bottom"/>
          </w:tcPr>
          <w:p>
            <w:pPr>
              <w:ind w:left="20"/>
              <w:spacing w:after="0" w:line="121" w:lineRule="exact"/>
              <w:rPr>
                <w:sz w:val="20"/>
                <w:szCs w:val="20"/>
                <w:color w:val="auto"/>
              </w:rPr>
            </w:pPr>
            <w:r>
              <w:rPr>
                <w:rFonts w:ascii="Arial" w:cs="Arial" w:eastAsia="Arial" w:hAnsi="Arial"/>
                <w:sz w:val="11"/>
                <w:szCs w:val="11"/>
                <w:color w:val="auto"/>
              </w:rPr>
              <w:t>Reduction in operating lease ROU assets and lease liabilities due to reassessment of</w:t>
            </w:r>
          </w:p>
        </w:tc>
        <w:tc>
          <w:tcPr>
            <w:tcW w:w="380" w:type="dxa"/>
            <w:vAlign w:val="bottom"/>
            <w:vMerge w:val="restart"/>
          </w:tcPr>
          <w:p>
            <w:pPr>
              <w:jc w:val="right"/>
              <w:ind w:right="243"/>
              <w:spacing w:after="0"/>
              <w:rPr>
                <w:sz w:val="20"/>
                <w:szCs w:val="20"/>
                <w:color w:val="auto"/>
              </w:rPr>
            </w:pPr>
            <w:r>
              <w:rPr>
                <w:rFonts w:ascii="Arial" w:cs="Arial" w:eastAsia="Arial" w:hAnsi="Arial"/>
                <w:sz w:val="11"/>
                <w:szCs w:val="11"/>
                <w:color w:val="auto"/>
                <w:w w:val="97"/>
              </w:rPr>
              <w:t>$</w:t>
            </w:r>
          </w:p>
        </w:tc>
        <w:tc>
          <w:tcPr>
            <w:tcW w:w="1280" w:type="dxa"/>
            <w:vAlign w:val="bottom"/>
            <w:vMerge w:val="restart"/>
          </w:tcPr>
          <w:p>
            <w:pPr>
              <w:jc w:val="right"/>
              <w:ind w:right="23"/>
              <w:spacing w:after="0"/>
              <w:rPr>
                <w:sz w:val="20"/>
                <w:szCs w:val="20"/>
                <w:color w:val="auto"/>
              </w:rPr>
            </w:pPr>
            <w:r>
              <w:rPr>
                <w:rFonts w:ascii="Arial" w:cs="Arial" w:eastAsia="Arial" w:hAnsi="Arial"/>
                <w:sz w:val="11"/>
                <w:szCs w:val="11"/>
                <w:color w:val="auto"/>
              </w:rPr>
              <w:t>4,155</w:t>
            </w:r>
          </w:p>
        </w:tc>
        <w:tc>
          <w:tcPr>
            <w:tcW w:w="440" w:type="dxa"/>
            <w:vAlign w:val="bottom"/>
            <w:vMerge w:val="restart"/>
          </w:tcPr>
          <w:p>
            <w:pPr>
              <w:jc w:val="right"/>
              <w:ind w:right="243"/>
              <w:spacing w:after="0"/>
              <w:rPr>
                <w:sz w:val="20"/>
                <w:szCs w:val="20"/>
                <w:color w:val="auto"/>
              </w:rPr>
            </w:pPr>
            <w:r>
              <w:rPr>
                <w:rFonts w:ascii="Arial" w:cs="Arial" w:eastAsia="Arial" w:hAnsi="Arial"/>
                <w:sz w:val="11"/>
                <w:szCs w:val="11"/>
                <w:color w:val="auto"/>
              </w:rPr>
              <w:t>$</w:t>
            </w:r>
          </w:p>
        </w:tc>
        <w:tc>
          <w:tcPr>
            <w:tcW w:w="13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vMerge w:val="restart"/>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vMerge w:val="restart"/>
          </w:tcPr>
          <w:p>
            <w:pPr>
              <w:jc w:val="right"/>
              <w:ind w:right="23"/>
              <w:spacing w:after="0"/>
              <w:rPr>
                <w:sz w:val="20"/>
                <w:szCs w:val="20"/>
                <w:color w:val="auto"/>
              </w:rPr>
            </w:pPr>
            <w:r>
              <w:rPr>
                <w:rFonts w:ascii="Arial" w:cs="Arial" w:eastAsia="Arial" w:hAnsi="Arial"/>
                <w:sz w:val="11"/>
                <w:szCs w:val="11"/>
                <w:color w:val="auto"/>
              </w:rPr>
              <w:t>4,155</w:t>
            </w:r>
          </w:p>
        </w:tc>
        <w:tc>
          <w:tcPr>
            <w:tcW w:w="740" w:type="dxa"/>
            <w:vAlign w:val="bottom"/>
            <w:vMerge w:val="restart"/>
          </w:tcPr>
          <w:p>
            <w:pPr>
              <w:jc w:val="right"/>
              <w:ind w:right="543"/>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4460" w:type="dxa"/>
            <w:vAlign w:val="bottom"/>
          </w:tcPr>
          <w:p>
            <w:pPr>
              <w:ind w:left="20"/>
              <w:spacing w:after="0"/>
              <w:rPr>
                <w:sz w:val="20"/>
                <w:szCs w:val="20"/>
                <w:color w:val="auto"/>
              </w:rPr>
            </w:pPr>
            <w:r>
              <w:rPr>
                <w:rFonts w:ascii="Arial" w:cs="Arial" w:eastAsia="Arial" w:hAnsi="Arial"/>
                <w:sz w:val="11"/>
                <w:szCs w:val="11"/>
                <w:color w:val="auto"/>
              </w:rPr>
              <w:t>lease terms</w:t>
            </w:r>
          </w:p>
        </w:tc>
        <w:tc>
          <w:tcPr>
            <w:tcW w:w="3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1"/>
          <w:szCs w:val="11"/>
          <w:i w:val="1"/>
          <w:iCs w:val="1"/>
          <w:color w:val="auto"/>
        </w:rPr>
        <w:t>(1)</w:t>
        <w:tab/>
        <w:t>On May 12, 2020, the Company entered into a lease agreement with Wilson Tech 5, LLC, for a proposed site in Lindon, Utah, which commenced on June 8, 2022.</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remaining lease term and discount rate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54"/>
        </w:trPr>
        <w:tc>
          <w:tcPr>
            <w:tcW w:w="7760" w:type="dxa"/>
            <w:vAlign w:val="bottom"/>
          </w:tcPr>
          <w:p>
            <w:pPr>
              <w:spacing w:after="0"/>
              <w:rPr>
                <w:sz w:val="13"/>
                <w:szCs w:val="13"/>
                <w:color w:val="auto"/>
              </w:rPr>
            </w:pPr>
          </w:p>
        </w:tc>
        <w:tc>
          <w:tcPr>
            <w:tcW w:w="22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Jun. 30,</w:t>
            </w:r>
          </w:p>
        </w:tc>
        <w:tc>
          <w:tcPr>
            <w:tcW w:w="1260" w:type="dxa"/>
            <w:vAlign w:val="bottom"/>
            <w:tcBorders>
              <w:bottom w:val="single" w:sz="8" w:color="auto"/>
            </w:tcBorders>
          </w:tcPr>
          <w:p>
            <w:pPr>
              <w:spacing w:after="0"/>
              <w:rPr>
                <w:sz w:val="13"/>
                <w:szCs w:val="13"/>
                <w:color w:val="auto"/>
              </w:rPr>
            </w:pPr>
          </w:p>
        </w:tc>
      </w:tr>
      <w:tr>
        <w:trPr>
          <w:trHeight w:val="15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260" w:type="dxa"/>
            <w:vAlign w:val="bottom"/>
            <w:tcBorders>
              <w:bottom w:val="single" w:sz="8" w:color="auto"/>
            </w:tcBorders>
          </w:tcPr>
          <w:p>
            <w:pPr>
              <w:jc w:val="right"/>
              <w:ind w:right="1223"/>
              <w:spacing w:after="0"/>
              <w:rPr>
                <w:sz w:val="20"/>
                <w:szCs w:val="20"/>
                <w:color w:val="auto"/>
              </w:rPr>
            </w:pPr>
            <w:r>
              <w:rPr>
                <w:rFonts w:ascii="Arial" w:cs="Arial" w:eastAsia="Arial" w:hAnsi="Arial"/>
                <w:sz w:val="11"/>
                <w:szCs w:val="11"/>
                <w:b w:val="1"/>
                <w:bCs w:val="1"/>
                <w:color w:val="auto"/>
              </w:rPr>
              <w:t>2022</w:t>
            </w:r>
          </w:p>
        </w:tc>
        <w:tc>
          <w:tcPr>
            <w:tcW w:w="126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rPr>
              <w:t>2021</w:t>
            </w:r>
          </w:p>
        </w:tc>
      </w:tr>
      <w:tr>
        <w:trPr>
          <w:trHeight w:val="139"/>
        </w:trPr>
        <w:tc>
          <w:tcPr>
            <w:tcW w:w="77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Weighted average remaining lease term (in years):</w:t>
            </w:r>
          </w:p>
        </w:tc>
        <w:tc>
          <w:tcPr>
            <w:tcW w:w="2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156"/>
        </w:trPr>
        <w:tc>
          <w:tcPr>
            <w:tcW w:w="7760" w:type="dxa"/>
            <w:vAlign w:val="bottom"/>
          </w:tcPr>
          <w:p>
            <w:pPr>
              <w:ind w:left="180"/>
              <w:spacing w:after="0"/>
              <w:rPr>
                <w:sz w:val="20"/>
                <w:szCs w:val="20"/>
                <w:color w:val="auto"/>
              </w:rPr>
            </w:pPr>
            <w:r>
              <w:rPr>
                <w:rFonts w:ascii="Arial" w:cs="Arial" w:eastAsia="Arial" w:hAnsi="Arial"/>
                <w:sz w:val="11"/>
                <w:szCs w:val="11"/>
                <w:color w:val="auto"/>
              </w:rPr>
              <w:t>Operating leases</w:t>
            </w:r>
          </w:p>
        </w:tc>
        <w:tc>
          <w:tcPr>
            <w:tcW w:w="2260" w:type="dxa"/>
            <w:vAlign w:val="bottom"/>
          </w:tcPr>
          <w:p>
            <w:pPr>
              <w:jc w:val="right"/>
              <w:ind w:right="503"/>
              <w:spacing w:after="0"/>
              <w:rPr>
                <w:sz w:val="20"/>
                <w:szCs w:val="20"/>
                <w:color w:val="auto"/>
              </w:rPr>
            </w:pPr>
            <w:r>
              <w:rPr>
                <w:rFonts w:ascii="Arial" w:cs="Arial" w:eastAsia="Arial" w:hAnsi="Arial"/>
                <w:sz w:val="11"/>
                <w:szCs w:val="11"/>
                <w:color w:val="auto"/>
              </w:rPr>
              <w:t>7.5 years</w:t>
            </w:r>
          </w:p>
        </w:tc>
        <w:tc>
          <w:tcPr>
            <w:tcW w:w="1260" w:type="dxa"/>
            <w:vAlign w:val="bottom"/>
          </w:tcPr>
          <w:p>
            <w:pPr>
              <w:jc w:val="right"/>
              <w:spacing w:after="0"/>
              <w:rPr>
                <w:sz w:val="20"/>
                <w:szCs w:val="20"/>
                <w:color w:val="auto"/>
              </w:rPr>
            </w:pPr>
            <w:r>
              <w:rPr>
                <w:rFonts w:ascii="Arial" w:cs="Arial" w:eastAsia="Arial" w:hAnsi="Arial"/>
                <w:sz w:val="11"/>
                <w:szCs w:val="11"/>
                <w:color w:val="auto"/>
              </w:rPr>
              <w:t>4.7 years</w:t>
            </w:r>
          </w:p>
        </w:tc>
      </w:tr>
      <w:tr>
        <w:trPr>
          <w:trHeight w:val="162"/>
        </w:trPr>
        <w:tc>
          <w:tcPr>
            <w:tcW w:w="7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Finance leases</w:t>
            </w:r>
          </w:p>
        </w:tc>
        <w:tc>
          <w:tcPr>
            <w:tcW w:w="2260" w:type="dxa"/>
            <w:vAlign w:val="bottom"/>
            <w:shd w:val="clear" w:color="auto" w:fill="CCEEFF"/>
          </w:tcPr>
          <w:p>
            <w:pPr>
              <w:jc w:val="right"/>
              <w:ind w:right="503"/>
              <w:spacing w:after="0"/>
              <w:rPr>
                <w:sz w:val="20"/>
                <w:szCs w:val="20"/>
                <w:color w:val="auto"/>
              </w:rPr>
            </w:pPr>
            <w:r>
              <w:rPr>
                <w:rFonts w:ascii="Arial" w:cs="Arial" w:eastAsia="Arial" w:hAnsi="Arial"/>
                <w:sz w:val="11"/>
                <w:szCs w:val="11"/>
                <w:color w:val="auto"/>
              </w:rPr>
              <w:t>0.0 years</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 years</w:t>
            </w:r>
          </w:p>
        </w:tc>
      </w:tr>
      <w:tr>
        <w:trPr>
          <w:trHeight w:val="156"/>
        </w:trPr>
        <w:tc>
          <w:tcPr>
            <w:tcW w:w="7760" w:type="dxa"/>
            <w:vAlign w:val="bottom"/>
          </w:tcPr>
          <w:p>
            <w:pPr>
              <w:ind w:left="20"/>
              <w:spacing w:after="0"/>
              <w:rPr>
                <w:sz w:val="20"/>
                <w:szCs w:val="20"/>
                <w:color w:val="auto"/>
              </w:rPr>
            </w:pPr>
            <w:r>
              <w:rPr>
                <w:rFonts w:ascii="Arial" w:cs="Arial" w:eastAsia="Arial" w:hAnsi="Arial"/>
                <w:sz w:val="11"/>
                <w:szCs w:val="11"/>
                <w:i w:val="1"/>
                <w:iCs w:val="1"/>
                <w:color w:val="auto"/>
              </w:rPr>
              <w:t>Weighted average discount rate:</w:t>
            </w:r>
          </w:p>
        </w:tc>
        <w:tc>
          <w:tcPr>
            <w:tcW w:w="22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2"/>
        </w:trPr>
        <w:tc>
          <w:tcPr>
            <w:tcW w:w="7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Operating leases</w:t>
            </w:r>
          </w:p>
        </w:tc>
        <w:tc>
          <w:tcPr>
            <w:tcW w:w="2260" w:type="dxa"/>
            <w:vAlign w:val="bottom"/>
            <w:shd w:val="clear" w:color="auto" w:fill="CCEEFF"/>
          </w:tcPr>
          <w:p>
            <w:pPr>
              <w:jc w:val="right"/>
              <w:ind w:right="503"/>
              <w:spacing w:after="0"/>
              <w:rPr>
                <w:sz w:val="20"/>
                <w:szCs w:val="20"/>
                <w:color w:val="auto"/>
              </w:rPr>
            </w:pPr>
            <w:r>
              <w:rPr>
                <w:rFonts w:ascii="Arial" w:cs="Arial" w:eastAsia="Arial" w:hAnsi="Arial"/>
                <w:sz w:val="11"/>
                <w:szCs w:val="11"/>
                <w:color w:val="auto"/>
              </w:rPr>
              <w:t>8.0 %</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6.1 %</w:t>
            </w:r>
          </w:p>
        </w:tc>
      </w:tr>
      <w:tr>
        <w:trPr>
          <w:trHeight w:val="153"/>
        </w:trPr>
        <w:tc>
          <w:tcPr>
            <w:tcW w:w="7760" w:type="dxa"/>
            <w:vAlign w:val="bottom"/>
          </w:tcPr>
          <w:p>
            <w:pPr>
              <w:ind w:left="180"/>
              <w:spacing w:after="0"/>
              <w:rPr>
                <w:sz w:val="20"/>
                <w:szCs w:val="20"/>
                <w:color w:val="auto"/>
              </w:rPr>
            </w:pPr>
            <w:r>
              <w:rPr>
                <w:rFonts w:ascii="Arial" w:cs="Arial" w:eastAsia="Arial" w:hAnsi="Arial"/>
                <w:sz w:val="11"/>
                <w:szCs w:val="11"/>
                <w:color w:val="auto"/>
              </w:rPr>
              <w:t>Finance leases</w:t>
            </w:r>
          </w:p>
        </w:tc>
        <w:tc>
          <w:tcPr>
            <w:tcW w:w="2260" w:type="dxa"/>
            <w:vAlign w:val="bottom"/>
          </w:tcPr>
          <w:p>
            <w:pPr>
              <w:jc w:val="right"/>
              <w:ind w:right="503"/>
              <w:spacing w:after="0"/>
              <w:rPr>
                <w:sz w:val="20"/>
                <w:szCs w:val="20"/>
                <w:color w:val="auto"/>
              </w:rPr>
            </w:pPr>
            <w:r>
              <w:rPr>
                <w:rFonts w:ascii="Arial" w:cs="Arial" w:eastAsia="Arial" w:hAnsi="Arial"/>
                <w:sz w:val="11"/>
                <w:szCs w:val="11"/>
                <w:color w:val="auto"/>
              </w:rPr>
              <w:t>— %</w:t>
            </w:r>
          </w:p>
        </w:tc>
        <w:tc>
          <w:tcPr>
            <w:tcW w:w="1260" w:type="dxa"/>
            <w:vAlign w:val="bottom"/>
          </w:tcPr>
          <w:p>
            <w:pPr>
              <w:jc w:val="right"/>
              <w:spacing w:after="0"/>
              <w:rPr>
                <w:sz w:val="20"/>
                <w:szCs w:val="20"/>
                <w:color w:val="auto"/>
              </w:rPr>
            </w:pPr>
            <w:r>
              <w:rPr>
                <w:rFonts w:ascii="Arial" w:cs="Arial" w:eastAsia="Arial" w:hAnsi="Arial"/>
                <w:sz w:val="11"/>
                <w:szCs w:val="11"/>
                <w:color w:val="auto"/>
              </w:rPr>
              <w:t>6.5 %</w:t>
            </w:r>
          </w:p>
        </w:tc>
      </w:tr>
    </w:tbl>
    <w:p>
      <w:pPr>
        <w:spacing w:after="0" w:line="240" w:lineRule="exact"/>
        <w:rPr>
          <w:sz w:val="20"/>
          <w:szCs w:val="20"/>
          <w:color w:val="auto"/>
        </w:rPr>
      </w:pPr>
    </w:p>
    <w:p>
      <w:pPr>
        <w:ind w:right="8700" w:firstLine="5"/>
        <w:spacing w:after="0" w:line="510" w:lineRule="auto"/>
        <w:tabs>
          <w:tab w:leader="none" w:pos="205" w:val="left"/>
        </w:tabs>
        <w:numPr>
          <w:ilvl w:val="0"/>
          <w:numId w:val="11"/>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COMMITMENTS AND CONTINGENCIES </w:t>
      </w:r>
      <w:r>
        <w:rPr>
          <w:rFonts w:ascii="Arial" w:cs="Arial" w:eastAsia="Arial" w:hAnsi="Arial"/>
          <w:sz w:val="13"/>
          <w:szCs w:val="13"/>
          <w:b w:val="1"/>
          <w:bCs w:val="1"/>
          <w:color w:val="000000"/>
        </w:rPr>
        <w:t>Legal Proceedings</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In September 2020, three purported securities class action complaints were filed in the United States District Court for the Northern District of Illinois against the Company, certain of its officers and directors, and certain underwriters, private equity firms, and investment vehicles alleging that the Registration Statement filed in connection with the IPO was negligently prepared and, as a result, contained untrue statements of material fact, omitted material facts necessary to make the statements contained therein not misleading, and failed to make necessary disclosures required under the rules and regulations governing its preparation, including the Securities Act of 1933 (the “Securities Class Action”). Compensatory damages and reasonable costs and expenses incurred in the Securities Class Action were sought by the lead plaintiffs. On December 10, 2020, the court in the earliest filed action consolidated the three complaints, appointed lead plaintiffs and lead counsel for the consolidated action, and captioned the consolidated action “In re GoHealth, Inc. Securities Litigation.” On February 25, 2021, lead plaintiffs filed a consolidated complaint. On April 26, 2021, the Company and officer and director defendants filed a motion to dismiss the complaint. On April 5, 2022, that motion was denied. On May 31, 2022, the Company and officer and director defendants filed an answer to the consolidated complaint and, on June 21, 2022, they filed an amended answer. September 23, 2022 is lead plaintiffs’ current deadline to file a motion for class certification. The court has not yet set a trial date.</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2"/>
          <w:szCs w:val="12"/>
          <w:color w:val="auto"/>
        </w:rPr>
        <w:t>On May 19, 2021, a derivative action (the “Derivative Action”) was filed, purportedly on behalf of the Company and against certain of the Company’s officers and directors, alleging breaches of fiduciary duty and other claims, based on substantially the same factual allegations as in the Securities Class Action. On June 6, 2022, the Derivative Action was stayed pursuant to the parties’ stipulation.</w:t>
      </w:r>
    </w:p>
    <w:p>
      <w:pPr>
        <w:spacing w:after="0" w:line="144" w:lineRule="exact"/>
        <w:rPr>
          <w:sz w:val="20"/>
          <w:szCs w:val="20"/>
          <w:color w:val="auto"/>
        </w:rPr>
      </w:pPr>
    </w:p>
    <w:p>
      <w:pPr>
        <w:jc w:val="both"/>
        <w:ind w:right="380"/>
        <w:spacing w:after="0" w:line="244" w:lineRule="auto"/>
        <w:rPr>
          <w:sz w:val="20"/>
          <w:szCs w:val="20"/>
          <w:color w:val="auto"/>
        </w:rPr>
      </w:pPr>
      <w:r>
        <w:rPr>
          <w:rFonts w:ascii="Arial" w:cs="Arial" w:eastAsia="Arial" w:hAnsi="Arial"/>
          <w:sz w:val="13"/>
          <w:szCs w:val="13"/>
          <w:color w:val="auto"/>
        </w:rPr>
        <w:t>The Company disputes each claim in the above referenced matters and intends to defend the pending actions noted above.The ultimate outcome of any damages that may become payable if its defense is unsuccessful in whole or in part is not probable nor estimable at this time. While GoHealth feels confident in its defense of these pending matters, there can be no assurance that it will prevail and that any damages that may be awarded will not be material to the results of operations or financial condition of GoHealth.</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12. RELATED PARTY TRANSACTIONS</w:t>
      </w:r>
    </w:p>
    <w:p>
      <w:pPr>
        <w:spacing w:after="0" w:line="179"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The Company is party to various lease agreements with 214 W Huron LLC, 220 W Huron Street Holdings LLC, 215 W Superior LLC, and Wilson Tech 5, LLC, each of which are controlled by significant shareholders of the Company, to lease its corporate offices in Chicago, Illinois. The Company pays rent, operating expenses, maintenance, and utilities under the terms of the leases. For the three and six months ended June 30, 2022, the Company made aggregate lease payments of $0.7 million and $1.0 million, respectively. For the three and six months ended June 30, 2021, the Company made aggregate lease payments of $0.4 million and $0.7 million, respectively.</w:t>
      </w:r>
    </w:p>
    <w:p>
      <w:pPr>
        <w:spacing w:after="0" w:line="144" w:lineRule="exact"/>
        <w:rPr>
          <w:sz w:val="20"/>
          <w:szCs w:val="20"/>
          <w:color w:val="auto"/>
        </w:rPr>
      </w:pPr>
    </w:p>
    <w:p>
      <w:pPr>
        <w:ind w:right="60"/>
        <w:spacing w:after="0" w:line="281" w:lineRule="auto"/>
        <w:rPr>
          <w:sz w:val="20"/>
          <w:szCs w:val="20"/>
          <w:color w:val="auto"/>
        </w:rPr>
      </w:pPr>
      <w:r>
        <w:rPr>
          <w:rFonts w:ascii="Arial" w:cs="Arial" w:eastAsia="Arial" w:hAnsi="Arial"/>
          <w:sz w:val="12"/>
          <w:szCs w:val="12"/>
          <w:color w:val="auto"/>
        </w:rPr>
        <w:t>On January 1, 2020, the Company entered into a non-exclusive aircraft dry lease agreement with an entity wholly-owned and controlled by certain significant shareholders of the Company.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three and six months ended June 30, 2022,the Company recorded expense of $0.2 million and $0.6 million, respectively. For the three and six months ended June 30, 2021, the Company recorded expense of $0.3 million and $0.4 million, respectively.</w:t>
      </w:r>
    </w:p>
    <w:p>
      <w:pPr>
        <w:spacing w:after="0" w:line="139"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During the twelve months ended December 31, 2020, the Company provided a short-term advancement to NVX Holdings, Inc., which is controlled by significant shareholders of the Company, for which the Company recorded a receivable of $3.4 million. The advancement was collected by the Company during the six months ended June 30, 2021.</w:t>
      </w:r>
    </w:p>
    <w:p>
      <w:pPr>
        <w:spacing w:after="0" w:line="135" w:lineRule="exact"/>
        <w:rPr>
          <w:sz w:val="20"/>
          <w:szCs w:val="20"/>
          <w:color w:val="auto"/>
        </w:rPr>
      </w:pPr>
    </w:p>
    <w:p>
      <w:pPr>
        <w:ind w:right="7560" w:firstLine="5"/>
        <w:spacing w:after="0" w:line="566" w:lineRule="auto"/>
        <w:tabs>
          <w:tab w:leader="none" w:pos="212" w:val="left"/>
        </w:tabs>
        <w:numPr>
          <w:ilvl w:val="0"/>
          <w:numId w:val="12"/>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OPERATING SEGMENTS AND SIGNIFICANT CUSTOMERS </w:t>
      </w:r>
      <w:r>
        <w:rPr>
          <w:rFonts w:ascii="Arial" w:cs="Arial" w:eastAsia="Arial" w:hAnsi="Arial"/>
          <w:sz w:val="13"/>
          <w:szCs w:val="13"/>
          <w:b w:val="1"/>
          <w:bCs w:val="1"/>
          <w:color w:val="000000"/>
        </w:rPr>
        <w:t>Operating Segments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22</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25" w:name="page26"/>
    <w:bookmarkEnd w:id="25"/>
    <w:p>
      <w:pPr>
        <w:ind w:right="420"/>
        <w:spacing w:after="0" w:line="261" w:lineRule="auto"/>
        <w:rPr>
          <w:sz w:val="20"/>
          <w:szCs w:val="20"/>
          <w:color w:val="auto"/>
        </w:rPr>
      </w:pPr>
      <w:r>
        <w:rPr>
          <w:rFonts w:ascii="Arial" w:cs="Arial" w:eastAsia="Arial" w:hAnsi="Arial"/>
          <w:sz w:val="13"/>
          <w:szCs w:val="13"/>
          <w:color w:val="auto"/>
        </w:rPr>
        <w:t xml:space="preserve">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For segment reporting purposes in accordance with ASC 280-10, </w:t>
      </w:r>
      <w:r>
        <w:rPr>
          <w:rFonts w:ascii="Arial" w:cs="Arial" w:eastAsia="Arial" w:hAnsi="Arial"/>
          <w:sz w:val="13"/>
          <w:szCs w:val="13"/>
          <w:i w:val="1"/>
          <w:iCs w:val="1"/>
          <w:color w:val="auto"/>
        </w:rPr>
        <w:t>Segment</w:t>
      </w:r>
      <w:r>
        <w:rPr>
          <w:rFonts w:ascii="Arial" w:cs="Arial" w:eastAsia="Arial" w:hAnsi="Arial"/>
          <w:sz w:val="13"/>
          <w:szCs w:val="13"/>
          <w:color w:val="auto"/>
        </w:rPr>
        <w:t xml:space="preserve"> </w:t>
      </w:r>
      <w:r>
        <w:rPr>
          <w:rFonts w:ascii="Arial" w:cs="Arial" w:eastAsia="Arial" w:hAnsi="Arial"/>
          <w:sz w:val="13"/>
          <w:szCs w:val="13"/>
          <w:i w:val="1"/>
          <w:iCs w:val="1"/>
          <w:color w:val="auto"/>
        </w:rPr>
        <w:t>Reporting</w:t>
      </w:r>
      <w:r>
        <w:rPr>
          <w:rFonts w:ascii="Arial" w:cs="Arial" w:eastAsia="Arial" w:hAnsi="Arial"/>
          <w:sz w:val="13"/>
          <w:szCs w:val="13"/>
          <w:color w:val="auto"/>
        </w:rPr>
        <w:t>, the Company’s business structure is comprised of four operating and reportable segments:</w:t>
      </w:r>
    </w:p>
    <w:p>
      <w:pPr>
        <w:spacing w:after="0" w:line="138" w:lineRule="exact"/>
        <w:rPr>
          <w:sz w:val="20"/>
          <w:szCs w:val="20"/>
          <w:color w:val="auto"/>
        </w:rPr>
      </w:pPr>
    </w:p>
    <w:p>
      <w:pPr>
        <w:ind w:right="380"/>
        <w:spacing w:after="0" w:line="283" w:lineRule="auto"/>
        <w:rPr>
          <w:sz w:val="20"/>
          <w:szCs w:val="20"/>
          <w:color w:val="auto"/>
        </w:rPr>
      </w:pPr>
      <w:r>
        <w:rPr>
          <w:rFonts w:ascii="Arial" w:cs="Arial" w:eastAsia="Arial" w:hAnsi="Arial"/>
          <w:sz w:val="13"/>
          <w:szCs w:val="13"/>
          <w:b w:val="1"/>
          <w:bCs w:val="1"/>
          <w:color w:val="auto"/>
        </w:rPr>
        <w:t xml:space="preserve">Medicare Internal and External: </w:t>
      </w:r>
      <w:r>
        <w:rPr>
          <w:rFonts w:ascii="Arial" w:cs="Arial" w:eastAsia="Arial" w:hAnsi="Arial"/>
          <w:sz w:val="13"/>
          <w:szCs w:val="13"/>
          <w:color w:val="auto"/>
        </w:rPr>
        <w:t>The Medicare internal and external segments consist primarily of revenues earned from sales of Medicare Advantage, Medicare Supplement, Prescription Drug</w:t>
      </w:r>
      <w:r>
        <w:rPr>
          <w:rFonts w:ascii="Arial" w:cs="Arial" w:eastAsia="Arial" w:hAnsi="Arial"/>
          <w:sz w:val="13"/>
          <w:szCs w:val="13"/>
          <w:b w:val="1"/>
          <w:bCs w:val="1"/>
          <w:color w:val="auto"/>
        </w:rPr>
        <w:t xml:space="preserve"> </w:t>
      </w:r>
      <w:r>
        <w:rPr>
          <w:rFonts w:ascii="Arial" w:cs="Arial" w:eastAsia="Arial" w:hAnsi="Arial"/>
          <w:sz w:val="13"/>
          <w:szCs w:val="13"/>
          <w:color w:val="auto"/>
        </w:rPr>
        <w:t>Plans, and Medicare Special Needs Plans (or “SNPs”), for multiple carriers.</w:t>
      </w:r>
    </w:p>
    <w:p>
      <w:pPr>
        <w:spacing w:after="0" w:line="125"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b w:val="1"/>
          <w:bCs w:val="1"/>
          <w:color w:val="auto"/>
        </w:rPr>
        <w:t xml:space="preserve">Individual and Family Plan and Other (“IFP and Other”) Internal and External: </w:t>
      </w:r>
      <w:r>
        <w:rPr>
          <w:rFonts w:ascii="Arial" w:cs="Arial" w:eastAsia="Arial" w:hAnsi="Arial"/>
          <w:sz w:val="13"/>
          <w:szCs w:val="13"/>
          <w:color w:val="auto"/>
        </w:rPr>
        <w:t>The IFP and Other internal and external segments consist primarily of revenues earned from sales of individual and</w:t>
      </w:r>
      <w:r>
        <w:rPr>
          <w:rFonts w:ascii="Arial" w:cs="Arial" w:eastAsia="Arial" w:hAnsi="Arial"/>
          <w:sz w:val="13"/>
          <w:szCs w:val="13"/>
          <w:b w:val="1"/>
          <w:bCs w:val="1"/>
          <w:color w:val="auto"/>
        </w:rPr>
        <w:t xml:space="preserve"> </w:t>
      </w:r>
      <w:r>
        <w:rPr>
          <w:rFonts w:ascii="Arial" w:cs="Arial" w:eastAsia="Arial" w:hAnsi="Arial"/>
          <w:sz w:val="13"/>
          <w:szCs w:val="13"/>
          <w:color w:val="auto"/>
        </w:rPr>
        <w:t>family plans, dental plans, vision plans and other ancillary plans to individuals that are not Medicare-eligible.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 Internal and External segments relative to both Medicare and IFP are defined as follows:</w:t>
      </w:r>
    </w:p>
    <w:p>
      <w:pPr>
        <w:spacing w:after="0" w:line="169"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b w:val="1"/>
          <w:bCs w:val="1"/>
          <w:color w:val="auto"/>
        </w:rPr>
        <w:t xml:space="preserve">Internal: </w:t>
      </w:r>
      <w:r>
        <w:rPr>
          <w:rFonts w:ascii="Arial" w:cs="Arial" w:eastAsia="Arial" w:hAnsi="Arial"/>
          <w:sz w:val="13"/>
          <w:szCs w:val="13"/>
          <w:color w:val="auto"/>
        </w:rPr>
        <w:t>The two internal segments primarily consist of sales of products and plans by Company-employed agents offering qualified prospects plans from multiple carriers, Company-employed agents</w:t>
      </w:r>
      <w:r>
        <w:rPr>
          <w:rFonts w:ascii="Arial" w:cs="Arial" w:eastAsia="Arial" w:hAnsi="Arial"/>
          <w:sz w:val="13"/>
          <w:szCs w:val="13"/>
          <w:b w:val="1"/>
          <w:bCs w:val="1"/>
          <w:color w:val="auto"/>
        </w:rPr>
        <w:t xml:space="preserve"> </w:t>
      </w:r>
      <w:r>
        <w:rPr>
          <w:rFonts w:ascii="Arial" w:cs="Arial" w:eastAsia="Arial" w:hAnsi="Arial"/>
          <w:sz w:val="13"/>
          <w:szCs w:val="13"/>
          <w:color w:val="auto"/>
        </w:rPr>
        <w:t>offering qualified prospects plans on a carrier-specific basis, or sales of products and plans through our online platform without the assistance of our agents (do-it-yourself or “DIY”). The Company earns revenue in this channel through commissions paid by carriers based on sales the Company generates, as well as enrollment fees, hourly fees and other fees for services performed for specific carriers and other partners.</w:t>
      </w:r>
    </w:p>
    <w:p>
      <w:pPr>
        <w:spacing w:after="0" w:line="155"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b w:val="1"/>
          <w:bCs w:val="1"/>
          <w:color w:val="auto"/>
        </w:rPr>
        <w:t xml:space="preserve">External: </w:t>
      </w:r>
      <w:r>
        <w:rPr>
          <w:rFonts w:ascii="Arial" w:cs="Arial" w:eastAsia="Arial" w:hAnsi="Arial"/>
          <w:sz w:val="13"/>
          <w:szCs w:val="13"/>
          <w:color w:val="auto"/>
        </w:rPr>
        <w:t>The two external segments represent sales of products and plans under the Company’s carrier contracts using an independent, national network of agents who are not employed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These agents utilize the Company’s technology and platform to enroll consumers in health insurance plans and provide a means to earn a return on leads that otherwise may have not been addressed. The Company also sells insurance prospects (or “leads”) to agencies within this channel. The Company earns revenue in this channel through commissions paid by carriers as a result of policy sales, as well as sales of leads to external agencies.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summary results of the Company’s operating segments for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60" w:type="dxa"/>
            <w:vAlign w:val="bottom"/>
            <w:gridSpan w:val="5"/>
          </w:tcPr>
          <w:p>
            <w:pPr>
              <w:ind w:left="100"/>
              <w:spacing w:after="0"/>
              <w:rPr>
                <w:sz w:val="20"/>
                <w:szCs w:val="20"/>
                <w:color w:val="auto"/>
              </w:rPr>
            </w:pPr>
            <w:r>
              <w:rPr>
                <w:rFonts w:ascii="Arial" w:cs="Arial" w:eastAsia="Arial" w:hAnsi="Arial"/>
                <w:sz w:val="11"/>
                <w:szCs w:val="11"/>
                <w:b w:val="1"/>
                <w:bCs w:val="1"/>
                <w:color w:val="auto"/>
              </w:rPr>
              <w:t>Three months ended Jun. 30,</w:t>
            </w:r>
          </w:p>
        </w:tc>
        <w:tc>
          <w:tcPr>
            <w:tcW w:w="280" w:type="dxa"/>
            <w:vAlign w:val="bottom"/>
          </w:tcPr>
          <w:p>
            <w:pPr>
              <w:spacing w:after="0"/>
              <w:rPr>
                <w:sz w:val="13"/>
                <w:szCs w:val="13"/>
                <w:color w:val="auto"/>
              </w:rPr>
            </w:pPr>
          </w:p>
        </w:tc>
        <w:tc>
          <w:tcPr>
            <w:tcW w:w="2300" w:type="dxa"/>
            <w:vAlign w:val="bottom"/>
            <w:gridSpan w:val="4"/>
          </w:tcPr>
          <w:p>
            <w:pPr>
              <w:jc w:val="right"/>
              <w:ind w:right="523"/>
              <w:spacing w:after="0"/>
              <w:rPr>
                <w:sz w:val="20"/>
                <w:szCs w:val="20"/>
                <w:color w:val="auto"/>
              </w:rPr>
            </w:pPr>
            <w:r>
              <w:rPr>
                <w:rFonts w:ascii="Arial" w:cs="Arial" w:eastAsia="Arial" w:hAnsi="Arial"/>
                <w:sz w:val="11"/>
                <w:szCs w:val="11"/>
                <w:b w:val="1"/>
                <w:bCs w:val="1"/>
                <w:color w:val="auto"/>
              </w:rPr>
              <w:t>Six months ended Jun. 30,</w:t>
            </w:r>
          </w:p>
        </w:tc>
        <w:tc>
          <w:tcPr>
            <w:tcW w:w="0" w:type="dxa"/>
            <w:vAlign w:val="bottom"/>
          </w:tcPr>
          <w:p>
            <w:pPr>
              <w:spacing w:after="0"/>
              <w:rPr>
                <w:sz w:val="1"/>
                <w:szCs w:val="1"/>
                <w:color w:val="auto"/>
              </w:rPr>
            </w:pPr>
          </w:p>
        </w:tc>
      </w:tr>
      <w:tr>
        <w:trPr>
          <w:trHeight w:val="15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3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Net revenues:</w:t>
            </w:r>
          </w:p>
        </w:tc>
        <w:tc>
          <w:tcPr>
            <w:tcW w:w="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180"/>
              <w:spacing w:after="0"/>
              <w:rPr>
                <w:sz w:val="20"/>
                <w:szCs w:val="20"/>
                <w:color w:val="auto"/>
              </w:rPr>
            </w:pPr>
            <w:r>
              <w:rPr>
                <w:rFonts w:ascii="Arial" w:cs="Arial" w:eastAsia="Arial" w:hAnsi="Arial"/>
                <w:sz w:val="11"/>
                <w:szCs w:val="11"/>
                <w:i w:val="1"/>
                <w:iCs w:val="1"/>
                <w:color w:val="auto"/>
              </w:rPr>
              <w:t>Medicare:</w:t>
            </w: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Internal channel</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840" w:type="dxa"/>
            <w:vAlign w:val="bottom"/>
            <w:tcBorders>
              <w:lef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103,685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160,433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307,530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317,786</w:t>
            </w:r>
          </w:p>
        </w:tc>
        <w:tc>
          <w:tcPr>
            <w:tcW w:w="0" w:type="dxa"/>
            <w:vAlign w:val="bottom"/>
          </w:tcPr>
          <w:p>
            <w:pPr>
              <w:spacing w:after="0"/>
              <w:rPr>
                <w:sz w:val="1"/>
                <w:szCs w:val="1"/>
                <w:color w:val="auto"/>
              </w:rPr>
            </w:pPr>
          </w:p>
        </w:tc>
      </w:tr>
      <w:tr>
        <w:trPr>
          <w:trHeight w:val="156"/>
        </w:trPr>
        <w:tc>
          <w:tcPr>
            <w:tcW w:w="48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External channel</w:t>
            </w:r>
          </w:p>
        </w:tc>
        <w:tc>
          <w:tcPr>
            <w:tcW w:w="2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50,103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31,379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111,589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70,879</w:t>
            </w:r>
          </w:p>
        </w:tc>
        <w:tc>
          <w:tcPr>
            <w:tcW w:w="0" w:type="dxa"/>
            <w:vAlign w:val="bottom"/>
          </w:tcPr>
          <w:p>
            <w:pPr>
              <w:spacing w:after="0"/>
              <w:rPr>
                <w:sz w:val="1"/>
                <w:szCs w:val="1"/>
                <w:color w:val="auto"/>
              </w:rPr>
            </w:pPr>
          </w:p>
        </w:tc>
      </w:tr>
      <w:tr>
        <w:trPr>
          <w:trHeight w:val="15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Medicare</w:t>
            </w:r>
          </w:p>
        </w:tc>
        <w:tc>
          <w:tcPr>
            <w:tcW w:w="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left w:val="single" w:sz="8" w:color="CCEEFF"/>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153,788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191,812</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419,119</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388,665</w:t>
            </w:r>
          </w:p>
        </w:tc>
        <w:tc>
          <w:tcPr>
            <w:tcW w:w="0" w:type="dxa"/>
            <w:vAlign w:val="bottom"/>
          </w:tcPr>
          <w:p>
            <w:pPr>
              <w:spacing w:after="0"/>
              <w:rPr>
                <w:sz w:val="1"/>
                <w:szCs w:val="1"/>
                <w:color w:val="auto"/>
              </w:rPr>
            </w:pPr>
          </w:p>
        </w:tc>
      </w:tr>
      <w:tr>
        <w:trPr>
          <w:trHeight w:val="136"/>
        </w:trPr>
        <w:tc>
          <w:tcPr>
            <w:tcW w:w="4860" w:type="dxa"/>
            <w:vAlign w:val="bottom"/>
          </w:tcPr>
          <w:p>
            <w:pPr>
              <w:ind w:left="180"/>
              <w:spacing w:after="0"/>
              <w:rPr>
                <w:sz w:val="20"/>
                <w:szCs w:val="20"/>
                <w:color w:val="auto"/>
              </w:rPr>
            </w:pPr>
            <w:r>
              <w:rPr>
                <w:rFonts w:ascii="Arial" w:cs="Arial" w:eastAsia="Arial" w:hAnsi="Arial"/>
                <w:sz w:val="11"/>
                <w:szCs w:val="11"/>
                <w:i w:val="1"/>
                <w:iCs w:val="1"/>
                <w:color w:val="auto"/>
              </w:rPr>
              <w:t>IFP and Other:</w:t>
            </w: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Internal channel</w:t>
            </w:r>
          </w:p>
        </w:tc>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tcBorders>
              <w:lef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4,245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3,788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8,445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7,763</w:t>
            </w:r>
          </w:p>
        </w:tc>
        <w:tc>
          <w:tcPr>
            <w:tcW w:w="0" w:type="dxa"/>
            <w:vAlign w:val="bottom"/>
          </w:tcPr>
          <w:p>
            <w:pPr>
              <w:spacing w:after="0"/>
              <w:rPr>
                <w:sz w:val="1"/>
                <w:szCs w:val="1"/>
                <w:color w:val="auto"/>
              </w:rPr>
            </w:pPr>
          </w:p>
        </w:tc>
      </w:tr>
      <w:tr>
        <w:trPr>
          <w:trHeight w:val="156"/>
        </w:trPr>
        <w:tc>
          <w:tcPr>
            <w:tcW w:w="48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External channel</w:t>
            </w:r>
          </w:p>
        </w:tc>
        <w:tc>
          <w:tcPr>
            <w:tcW w:w="2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1,683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4,653</w:t>
            </w:r>
          </w:p>
        </w:tc>
        <w:tc>
          <w:tcPr>
            <w:tcW w:w="0" w:type="dxa"/>
            <w:vAlign w:val="bottom"/>
          </w:tcPr>
          <w:p>
            <w:pPr>
              <w:spacing w:after="0"/>
              <w:rPr>
                <w:sz w:val="1"/>
                <w:szCs w:val="1"/>
                <w:color w:val="auto"/>
              </w:rPr>
            </w:pPr>
          </w:p>
        </w:tc>
      </w:tr>
      <w:tr>
        <w:trPr>
          <w:trHeight w:val="15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IFP and Other</w:t>
            </w:r>
          </w:p>
        </w:tc>
        <w:tc>
          <w:tcPr>
            <w:tcW w:w="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left w:val="single" w:sz="8" w:color="CCEEFF"/>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4,866</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5,090</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10,128</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12,416</w:t>
            </w:r>
          </w:p>
        </w:tc>
        <w:tc>
          <w:tcPr>
            <w:tcW w:w="0" w:type="dxa"/>
            <w:vAlign w:val="bottom"/>
          </w:tcPr>
          <w:p>
            <w:pPr>
              <w:spacing w:after="0"/>
              <w:rPr>
                <w:sz w:val="1"/>
                <w:szCs w:val="1"/>
                <w:color w:val="auto"/>
              </w:rPr>
            </w:pPr>
          </w:p>
        </w:tc>
      </w:tr>
      <w:tr>
        <w:trPr>
          <w:trHeight w:val="14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revenues</w:t>
            </w:r>
          </w:p>
        </w:tc>
        <w:tc>
          <w:tcPr>
            <w:tcW w:w="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158,654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196,902</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429,247</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401,081</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Segment profit (loss):</w:t>
            </w:r>
          </w:p>
        </w:tc>
        <w:tc>
          <w:tcPr>
            <w:tcW w:w="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180"/>
              <w:spacing w:after="0"/>
              <w:rPr>
                <w:sz w:val="20"/>
                <w:szCs w:val="20"/>
                <w:color w:val="auto"/>
              </w:rPr>
            </w:pPr>
            <w:r>
              <w:rPr>
                <w:rFonts w:ascii="Arial" w:cs="Arial" w:eastAsia="Arial" w:hAnsi="Arial"/>
                <w:sz w:val="11"/>
                <w:szCs w:val="11"/>
                <w:i w:val="1"/>
                <w:iCs w:val="1"/>
                <w:color w:val="auto"/>
              </w:rPr>
              <w:t>Medicare:</w:t>
            </w: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Internal channel</w:t>
            </w:r>
          </w:p>
        </w:tc>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(11,040)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31,257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23,799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77,700</w:t>
            </w:r>
          </w:p>
        </w:tc>
        <w:tc>
          <w:tcPr>
            <w:tcW w:w="0" w:type="dxa"/>
            <w:vAlign w:val="bottom"/>
          </w:tcPr>
          <w:p>
            <w:pPr>
              <w:spacing w:after="0"/>
              <w:rPr>
                <w:sz w:val="1"/>
                <w:szCs w:val="1"/>
                <w:color w:val="auto"/>
              </w:rPr>
            </w:pPr>
          </w:p>
        </w:tc>
      </w:tr>
      <w:tr>
        <w:trPr>
          <w:trHeight w:val="156"/>
        </w:trPr>
        <w:tc>
          <w:tcPr>
            <w:tcW w:w="48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External channel</w:t>
            </w:r>
          </w:p>
        </w:tc>
        <w:tc>
          <w:tcPr>
            <w:tcW w:w="2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(5,635)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(1,688)</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(13,428)</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(2,319)</w:t>
            </w:r>
          </w:p>
        </w:tc>
        <w:tc>
          <w:tcPr>
            <w:tcW w:w="0" w:type="dxa"/>
            <w:vAlign w:val="bottom"/>
          </w:tcPr>
          <w:p>
            <w:pPr>
              <w:spacing w:after="0"/>
              <w:rPr>
                <w:sz w:val="1"/>
                <w:szCs w:val="1"/>
                <w:color w:val="auto"/>
              </w:rPr>
            </w:pPr>
          </w:p>
        </w:tc>
      </w:tr>
      <w:tr>
        <w:trPr>
          <w:trHeight w:val="15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Medicare</w:t>
            </w:r>
          </w:p>
        </w:tc>
        <w:tc>
          <w:tcPr>
            <w:tcW w:w="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(16,675)</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29,569</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10,371</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75,381</w:t>
            </w:r>
          </w:p>
        </w:tc>
        <w:tc>
          <w:tcPr>
            <w:tcW w:w="0" w:type="dxa"/>
            <w:vAlign w:val="bottom"/>
          </w:tcPr>
          <w:p>
            <w:pPr>
              <w:spacing w:after="0"/>
              <w:rPr>
                <w:sz w:val="1"/>
                <w:szCs w:val="1"/>
                <w:color w:val="auto"/>
              </w:rPr>
            </w:pPr>
          </w:p>
        </w:tc>
      </w:tr>
      <w:tr>
        <w:trPr>
          <w:trHeight w:val="136"/>
        </w:trPr>
        <w:tc>
          <w:tcPr>
            <w:tcW w:w="4860" w:type="dxa"/>
            <w:vAlign w:val="bottom"/>
          </w:tcPr>
          <w:p>
            <w:pPr>
              <w:ind w:left="180"/>
              <w:spacing w:after="0"/>
              <w:rPr>
                <w:sz w:val="20"/>
                <w:szCs w:val="20"/>
                <w:color w:val="auto"/>
              </w:rPr>
            </w:pPr>
            <w:r>
              <w:rPr>
                <w:rFonts w:ascii="Arial" w:cs="Arial" w:eastAsia="Arial" w:hAnsi="Arial"/>
                <w:sz w:val="11"/>
                <w:szCs w:val="11"/>
                <w:i w:val="1"/>
                <w:iCs w:val="1"/>
                <w:color w:val="auto"/>
              </w:rPr>
              <w:t>IFP and Other:</w:t>
            </w: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Internal channel</w:t>
            </w:r>
          </w:p>
        </w:tc>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tcBorders>
              <w:lef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1,582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(1,529)</w:t>
            </w:r>
          </w:p>
        </w:tc>
        <w:tc>
          <w:tcPr>
            <w:tcW w:w="0" w:type="dxa"/>
            <w:vAlign w:val="bottom"/>
          </w:tcPr>
          <w:p>
            <w:pPr>
              <w:spacing w:after="0"/>
              <w:rPr>
                <w:sz w:val="1"/>
                <w:szCs w:val="1"/>
                <w:color w:val="auto"/>
              </w:rPr>
            </w:pPr>
          </w:p>
        </w:tc>
      </w:tr>
      <w:tr>
        <w:trPr>
          <w:trHeight w:val="156"/>
        </w:trPr>
        <w:tc>
          <w:tcPr>
            <w:tcW w:w="48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External channel</w:t>
            </w:r>
          </w:p>
        </w:tc>
        <w:tc>
          <w:tcPr>
            <w:tcW w:w="2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w:t>
            </w:r>
          </w:p>
        </w:tc>
        <w:tc>
          <w:tcPr>
            <w:tcW w:w="0" w:type="dxa"/>
            <w:vAlign w:val="bottom"/>
          </w:tcPr>
          <w:p>
            <w:pPr>
              <w:spacing w:after="0"/>
              <w:rPr>
                <w:sz w:val="1"/>
                <w:szCs w:val="1"/>
                <w:color w:val="auto"/>
              </w:rPr>
            </w:pPr>
          </w:p>
        </w:tc>
      </w:tr>
      <w:tr>
        <w:trPr>
          <w:trHeight w:val="15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IFP and Other</w:t>
            </w:r>
          </w:p>
        </w:tc>
        <w:tc>
          <w:tcPr>
            <w:tcW w:w="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left w:val="single" w:sz="8" w:color="CCEEFF"/>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1,171</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(857)</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1,503</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(1,426)</w:t>
            </w:r>
          </w:p>
        </w:tc>
        <w:tc>
          <w:tcPr>
            <w:tcW w:w="0" w:type="dxa"/>
            <w:vAlign w:val="bottom"/>
          </w:tcPr>
          <w:p>
            <w:pPr>
              <w:spacing w:after="0"/>
              <w:rPr>
                <w:sz w:val="1"/>
                <w:szCs w:val="1"/>
                <w:color w:val="auto"/>
              </w:rPr>
            </w:pPr>
          </w:p>
        </w:tc>
      </w:tr>
      <w:tr>
        <w:trPr>
          <w:trHeight w:val="14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Segment profit (loss)</w:t>
            </w:r>
          </w:p>
        </w:tc>
        <w:tc>
          <w:tcPr>
            <w:tcW w:w="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(15,504)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28,712</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11,874</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73,955</w:t>
            </w:r>
          </w:p>
        </w:tc>
        <w:tc>
          <w:tcPr>
            <w:tcW w:w="0" w:type="dxa"/>
            <w:vAlign w:val="bottom"/>
          </w:tcPr>
          <w:p>
            <w:pPr>
              <w:spacing w:after="0"/>
              <w:rPr>
                <w:sz w:val="1"/>
                <w:szCs w:val="1"/>
                <w:color w:val="auto"/>
              </w:rPr>
            </w:pPr>
          </w:p>
        </w:tc>
      </w:tr>
      <w:tr>
        <w:trPr>
          <w:trHeight w:val="15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Corporate expense</w:t>
            </w:r>
          </w:p>
        </w:tc>
        <w:tc>
          <w:tcPr>
            <w:tcW w:w="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tcBorders>
              <w:lef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37,027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24,194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66,199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44,513</w:t>
            </w: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Amortization of intangible assets</w:t>
            </w: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23,515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23,515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47,029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47,029</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impairment charges</w:t>
            </w:r>
          </w:p>
        </w:tc>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tcBorders>
              <w:lef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24,995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24,995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Loss on extinguishment of debt</w:t>
            </w: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11,935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11,935</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tcBorders>
              <w:lef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12,724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8,277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16,965</w:t>
            </w:r>
          </w:p>
        </w:tc>
        <w:tc>
          <w:tcPr>
            <w:tcW w:w="0" w:type="dxa"/>
            <w:vAlign w:val="bottom"/>
          </w:tcPr>
          <w:p>
            <w:pPr>
              <w:spacing w:after="0"/>
              <w:rPr>
                <w:sz w:val="1"/>
                <w:szCs w:val="1"/>
                <w:color w:val="auto"/>
              </w:rPr>
            </w:pPr>
          </w:p>
        </w:tc>
      </w:tr>
      <w:tr>
        <w:trPr>
          <w:trHeight w:val="159"/>
        </w:trPr>
        <w:tc>
          <w:tcPr>
            <w:tcW w:w="4860" w:type="dxa"/>
            <w:vAlign w:val="bottom"/>
          </w:tcPr>
          <w:p>
            <w:pPr>
              <w:ind w:left="20"/>
              <w:spacing w:after="0"/>
              <w:rPr>
                <w:sz w:val="20"/>
                <w:szCs w:val="20"/>
                <w:color w:val="auto"/>
              </w:rPr>
            </w:pPr>
            <w:r>
              <w:rPr>
                <w:rFonts w:ascii="Arial" w:cs="Arial" w:eastAsia="Arial" w:hAnsi="Arial"/>
                <w:sz w:val="11"/>
                <w:szCs w:val="11"/>
                <w:color w:val="auto"/>
              </w:rPr>
              <w:t>Other (income) expense, net</w:t>
            </w: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(113,752)</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(39,253)</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(150,521)</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(46,544)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560" w:type="dxa"/>
            <w:vAlign w:val="bottom"/>
            <w:gridSpan w:val="2"/>
            <w:vMerge w:val="restart"/>
          </w:tcPr>
          <w:p>
            <w:pPr>
              <w:jc w:val="right"/>
              <w:ind w:right="380"/>
              <w:spacing w:after="0"/>
              <w:rPr>
                <w:sz w:val="20"/>
                <w:szCs w:val="20"/>
                <w:color w:val="auto"/>
              </w:rPr>
            </w:pPr>
            <w:r>
              <w:rPr>
                <w:rFonts w:ascii="Arial" w:cs="Arial" w:eastAsia="Arial" w:hAnsi="Arial"/>
                <w:sz w:val="11"/>
                <w:szCs w:val="11"/>
                <w:color w:val="auto"/>
              </w:rPr>
              <w:t>2022 Form 10-Q</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840" w:type="dxa"/>
            <w:vAlign w:val="bottom"/>
            <w:tcBorders>
              <w:left w:val="single" w:sz="8" w:color="auto"/>
            </w:tcBorders>
          </w:tcPr>
          <w:p>
            <w:pPr>
              <w:ind w:left="80"/>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6" w:name="page27"/>
    <w:bookmarkEnd w:id="26"/>
    <w:p>
      <w:pPr>
        <w:spacing w:after="0"/>
        <w:rPr>
          <w:sz w:val="20"/>
          <w:szCs w:val="20"/>
          <w:color w:val="auto"/>
        </w:rPr>
      </w:pPr>
      <w:r>
        <w:rPr>
          <w:rFonts w:ascii="Arial" w:cs="Arial" w:eastAsia="Arial" w:hAnsi="Arial"/>
          <w:sz w:val="12"/>
          <w:szCs w:val="12"/>
          <w:color w:val="auto"/>
        </w:rPr>
        <w:t>There are no internal revenue transactions between the Company’s operating segments. Substantially all revenue for the periods presented was generated from customers located in the United States.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The Company’s CODM does not separately evaluate assets by segment, and therefore assets by segment are not presented. The Company’s assets are primarily located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Significant Customers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carriers representing 10% or more of the Company’s total revenue for the periods indicated:</w:t>
      </w:r>
    </w:p>
    <w:p>
      <w:pPr>
        <w:sectPr>
          <w:pgSz w:w="11900" w:h="16838" w:orient="portrait"/>
          <w:cols w:equalWidth="0" w:num="1">
            <w:col w:w="11280"/>
          </w:cols>
          <w:pgMar w:left="300" w:top="1073" w:right="319" w:bottom="1440" w:gutter="0" w:footer="0" w:header="0"/>
        </w:sectPr>
      </w:pPr>
    </w:p>
    <w:p>
      <w:pPr>
        <w:spacing w:after="0" w:line="215" w:lineRule="exact"/>
        <w:rPr>
          <w:sz w:val="20"/>
          <w:szCs w:val="20"/>
          <w:color w:val="auto"/>
        </w:rPr>
      </w:pPr>
    </w:p>
    <w:p>
      <w:pPr>
        <w:ind w:left="6380"/>
        <w:spacing w:after="0"/>
        <w:rPr>
          <w:sz w:val="20"/>
          <w:szCs w:val="20"/>
          <w:color w:val="auto"/>
        </w:rPr>
      </w:pPr>
      <w:r>
        <w:rPr>
          <w:rFonts w:ascii="Arial" w:cs="Arial" w:eastAsia="Arial" w:hAnsi="Arial"/>
          <w:sz w:val="11"/>
          <w:szCs w:val="11"/>
          <w:b w:val="1"/>
          <w:bCs w:val="1"/>
          <w:color w:val="auto"/>
        </w:rPr>
        <w:t>Three months ended Jun.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17780</wp:posOffset>
            </wp:positionV>
            <wp:extent cx="171132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1325" cy="6985"/>
                    </a:xfrm>
                    <a:prstGeom prst="rect">
                      <a:avLst/>
                    </a:prstGeom>
                    <a:noFill/>
                  </pic:spPr>
                </pic:pic>
              </a:graphicData>
            </a:graphic>
          </wp:anchor>
        </w:drawing>
      </w:r>
    </w:p>
    <w:p>
      <w:pPr>
        <w:spacing w:after="0" w:line="23" w:lineRule="exact"/>
        <w:rPr>
          <w:sz w:val="20"/>
          <w:szCs w:val="20"/>
          <w:color w:val="auto"/>
        </w:rPr>
      </w:pPr>
    </w:p>
    <w:p>
      <w:pPr>
        <w:ind w:left="6340"/>
        <w:spacing w:after="0"/>
        <w:tabs>
          <w:tab w:leader="none" w:pos="770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520"/>
        <w:spacing w:after="0"/>
        <w:rPr>
          <w:sz w:val="20"/>
          <w:szCs w:val="20"/>
          <w:color w:val="auto"/>
        </w:rPr>
      </w:pPr>
      <w:r>
        <w:rPr>
          <w:rFonts w:ascii="Arial" w:cs="Arial" w:eastAsia="Arial" w:hAnsi="Arial"/>
          <w:sz w:val="11"/>
          <w:szCs w:val="11"/>
          <w:b w:val="1"/>
          <w:bCs w:val="1"/>
          <w:color w:val="auto"/>
        </w:rPr>
        <w:t>Six months ended Jun.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17780</wp:posOffset>
            </wp:positionV>
            <wp:extent cx="171132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1325" cy="6985"/>
                    </a:xfrm>
                    <a:prstGeom prst="rect">
                      <a:avLst/>
                    </a:prstGeom>
                    <a:noFill/>
                  </pic:spPr>
                </pic:pic>
              </a:graphicData>
            </a:graphic>
          </wp:anchor>
        </w:drawing>
      </w:r>
    </w:p>
    <w:p>
      <w:pPr>
        <w:spacing w:after="0" w:line="23" w:lineRule="exact"/>
        <w:rPr>
          <w:sz w:val="20"/>
          <w:szCs w:val="20"/>
          <w:color w:val="auto"/>
        </w:rPr>
      </w:pPr>
    </w:p>
    <w:p>
      <w:pPr>
        <w:spacing w:after="0"/>
        <w:tabs>
          <w:tab w:leader="none" w:pos="136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p>
    <w:p>
      <w:pPr>
        <w:spacing w:after="0" w:line="28" w:lineRule="exact"/>
        <w:rPr>
          <w:sz w:val="20"/>
          <w:szCs w:val="20"/>
          <w:color w:val="auto"/>
        </w:rPr>
      </w:pPr>
    </w:p>
    <w:p>
      <w:pPr>
        <w:sectPr>
          <w:pgSz w:w="11900" w:h="16838" w:orient="portrait"/>
          <w:cols w:equalWidth="0" w:num="2">
            <w:col w:w="8400" w:space="720"/>
            <w:col w:w="2160"/>
          </w:cols>
          <w:pgMar w:left="300" w:top="1073" w:right="31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Humana</w:t>
            </w:r>
          </w:p>
        </w:tc>
        <w:tc>
          <w:tcPr>
            <w:tcW w:w="186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1"/>
                <w:szCs w:val="11"/>
                <w:color w:val="auto"/>
              </w:rPr>
              <w:t>29 %</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29 %</w:t>
            </w:r>
          </w:p>
        </w:tc>
        <w:tc>
          <w:tcPr>
            <w:tcW w:w="8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1"/>
                <w:szCs w:val="11"/>
                <w:color w:val="auto"/>
              </w:rPr>
              <w:t>26 %</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29 %</w:t>
            </w:r>
          </w:p>
        </w:tc>
      </w:tr>
      <w:tr>
        <w:trPr>
          <w:trHeight w:val="156"/>
        </w:trPr>
        <w:tc>
          <w:tcPr>
            <w:tcW w:w="5800" w:type="dxa"/>
            <w:vAlign w:val="bottom"/>
          </w:tcPr>
          <w:p>
            <w:pPr>
              <w:ind w:left="20"/>
              <w:spacing w:after="0"/>
              <w:rPr>
                <w:sz w:val="20"/>
                <w:szCs w:val="20"/>
                <w:color w:val="auto"/>
              </w:rPr>
            </w:pPr>
            <w:r>
              <w:rPr>
                <w:rFonts w:ascii="Arial" w:cs="Arial" w:eastAsia="Arial" w:hAnsi="Arial"/>
                <w:sz w:val="11"/>
                <w:szCs w:val="11"/>
                <w:color w:val="auto"/>
              </w:rPr>
              <w:t>Elevance Health</w:t>
            </w:r>
          </w:p>
        </w:tc>
        <w:tc>
          <w:tcPr>
            <w:tcW w:w="1860" w:type="dxa"/>
            <w:vAlign w:val="bottom"/>
          </w:tcPr>
          <w:p>
            <w:pPr>
              <w:jc w:val="right"/>
              <w:ind w:right="503"/>
              <w:spacing w:after="0"/>
              <w:rPr>
                <w:sz w:val="20"/>
                <w:szCs w:val="20"/>
                <w:color w:val="auto"/>
              </w:rPr>
            </w:pPr>
            <w:r>
              <w:rPr>
                <w:rFonts w:ascii="Arial" w:cs="Arial" w:eastAsia="Arial" w:hAnsi="Arial"/>
                <w:sz w:val="11"/>
                <w:szCs w:val="11"/>
                <w:color w:val="auto"/>
              </w:rPr>
              <w:t>23 %</w:t>
            </w:r>
          </w:p>
        </w:tc>
        <w:tc>
          <w:tcPr>
            <w:tcW w:w="840" w:type="dxa"/>
            <w:vAlign w:val="bottom"/>
          </w:tcPr>
          <w:p>
            <w:pPr>
              <w:jc w:val="right"/>
              <w:spacing w:after="0"/>
              <w:rPr>
                <w:sz w:val="20"/>
                <w:szCs w:val="20"/>
                <w:color w:val="auto"/>
              </w:rPr>
            </w:pPr>
            <w:r>
              <w:rPr>
                <w:rFonts w:ascii="Arial" w:cs="Arial" w:eastAsia="Arial" w:hAnsi="Arial"/>
                <w:sz w:val="11"/>
                <w:szCs w:val="11"/>
                <w:color w:val="auto"/>
              </w:rPr>
              <w:t>38 %</w:t>
            </w:r>
          </w:p>
        </w:tc>
        <w:tc>
          <w:tcPr>
            <w:tcW w:w="80" w:type="dxa"/>
            <w:vAlign w:val="bottom"/>
          </w:tcPr>
          <w:p>
            <w:pPr>
              <w:spacing w:after="0"/>
              <w:rPr>
                <w:sz w:val="13"/>
                <w:szCs w:val="13"/>
                <w:color w:val="auto"/>
              </w:rPr>
            </w:pPr>
          </w:p>
        </w:tc>
        <w:tc>
          <w:tcPr>
            <w:tcW w:w="1860" w:type="dxa"/>
            <w:vAlign w:val="bottom"/>
          </w:tcPr>
          <w:p>
            <w:pPr>
              <w:jc w:val="right"/>
              <w:ind w:right="503"/>
              <w:spacing w:after="0"/>
              <w:rPr>
                <w:sz w:val="20"/>
                <w:szCs w:val="20"/>
                <w:color w:val="auto"/>
              </w:rPr>
            </w:pPr>
            <w:r>
              <w:rPr>
                <w:rFonts w:ascii="Arial" w:cs="Arial" w:eastAsia="Arial" w:hAnsi="Arial"/>
                <w:sz w:val="11"/>
                <w:szCs w:val="11"/>
                <w:color w:val="auto"/>
              </w:rPr>
              <w:t>24 %</w:t>
            </w:r>
          </w:p>
        </w:tc>
        <w:tc>
          <w:tcPr>
            <w:tcW w:w="840" w:type="dxa"/>
            <w:vAlign w:val="bottom"/>
          </w:tcPr>
          <w:p>
            <w:pPr>
              <w:jc w:val="right"/>
              <w:spacing w:after="0"/>
              <w:rPr>
                <w:sz w:val="20"/>
                <w:szCs w:val="20"/>
                <w:color w:val="auto"/>
              </w:rPr>
            </w:pPr>
            <w:r>
              <w:rPr>
                <w:rFonts w:ascii="Arial" w:cs="Arial" w:eastAsia="Arial" w:hAnsi="Arial"/>
                <w:sz w:val="11"/>
                <w:szCs w:val="11"/>
                <w:color w:val="auto"/>
              </w:rPr>
              <w:t>34 %</w:t>
            </w:r>
          </w:p>
        </w:tc>
      </w:tr>
      <w:tr>
        <w:trPr>
          <w:trHeight w:val="162"/>
        </w:trPr>
        <w:tc>
          <w:tcPr>
            <w:tcW w:w="5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United</w:t>
            </w:r>
          </w:p>
        </w:tc>
        <w:tc>
          <w:tcPr>
            <w:tcW w:w="1860" w:type="dxa"/>
            <w:vAlign w:val="bottom"/>
            <w:shd w:val="clear" w:color="auto" w:fill="CCEEFF"/>
          </w:tcPr>
          <w:p>
            <w:pPr>
              <w:jc w:val="right"/>
              <w:ind w:right="503"/>
              <w:spacing w:after="0"/>
              <w:rPr>
                <w:sz w:val="20"/>
                <w:szCs w:val="20"/>
                <w:color w:val="auto"/>
              </w:rPr>
            </w:pPr>
            <w:r>
              <w:rPr>
                <w:rFonts w:ascii="Arial" w:cs="Arial" w:eastAsia="Arial" w:hAnsi="Arial"/>
                <w:sz w:val="11"/>
                <w:szCs w:val="11"/>
                <w:color w:val="auto"/>
              </w:rPr>
              <w:t>17 %</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16 %</w:t>
            </w:r>
          </w:p>
        </w:tc>
        <w:tc>
          <w:tcPr>
            <w:tcW w:w="8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503"/>
              <w:spacing w:after="0"/>
              <w:rPr>
                <w:sz w:val="20"/>
                <w:szCs w:val="20"/>
                <w:color w:val="auto"/>
              </w:rPr>
            </w:pPr>
            <w:r>
              <w:rPr>
                <w:rFonts w:ascii="Arial" w:cs="Arial" w:eastAsia="Arial" w:hAnsi="Arial"/>
                <w:sz w:val="11"/>
                <w:szCs w:val="11"/>
                <w:color w:val="auto"/>
              </w:rPr>
              <w:t>18 %</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17 %</w:t>
            </w:r>
          </w:p>
        </w:tc>
      </w:tr>
      <w:tr>
        <w:trPr>
          <w:trHeight w:val="153"/>
        </w:trPr>
        <w:tc>
          <w:tcPr>
            <w:tcW w:w="5800" w:type="dxa"/>
            <w:vAlign w:val="bottom"/>
          </w:tcPr>
          <w:p>
            <w:pPr>
              <w:ind w:left="20"/>
              <w:spacing w:after="0"/>
              <w:rPr>
                <w:sz w:val="20"/>
                <w:szCs w:val="20"/>
                <w:color w:val="auto"/>
              </w:rPr>
            </w:pPr>
            <w:r>
              <w:rPr>
                <w:rFonts w:ascii="Arial" w:cs="Arial" w:eastAsia="Arial" w:hAnsi="Arial"/>
                <w:sz w:val="11"/>
                <w:szCs w:val="11"/>
                <w:color w:val="auto"/>
              </w:rPr>
              <w:t>Centene</w:t>
            </w:r>
          </w:p>
        </w:tc>
        <w:tc>
          <w:tcPr>
            <w:tcW w:w="1860" w:type="dxa"/>
            <w:vAlign w:val="bottom"/>
          </w:tcPr>
          <w:p>
            <w:pPr>
              <w:jc w:val="right"/>
              <w:ind w:right="503"/>
              <w:spacing w:after="0"/>
              <w:rPr>
                <w:sz w:val="20"/>
                <w:szCs w:val="20"/>
                <w:color w:val="auto"/>
              </w:rPr>
            </w:pPr>
            <w:r>
              <w:rPr>
                <w:rFonts w:ascii="Arial" w:cs="Arial" w:eastAsia="Arial" w:hAnsi="Arial"/>
                <w:sz w:val="11"/>
                <w:szCs w:val="11"/>
                <w:color w:val="auto"/>
              </w:rPr>
              <w:t>14 %</w:t>
            </w:r>
          </w:p>
        </w:tc>
        <w:tc>
          <w:tcPr>
            <w:tcW w:w="840" w:type="dxa"/>
            <w:vAlign w:val="bottom"/>
          </w:tcPr>
          <w:p>
            <w:pPr>
              <w:jc w:val="right"/>
              <w:spacing w:after="0"/>
              <w:rPr>
                <w:sz w:val="20"/>
                <w:szCs w:val="20"/>
                <w:color w:val="auto"/>
              </w:rPr>
            </w:pPr>
            <w:r>
              <w:rPr>
                <w:rFonts w:ascii="Arial" w:cs="Arial" w:eastAsia="Arial" w:hAnsi="Arial"/>
                <w:sz w:val="11"/>
                <w:szCs w:val="11"/>
                <w:color w:val="auto"/>
              </w:rPr>
              <w:t>9 %</w:t>
            </w:r>
          </w:p>
        </w:tc>
        <w:tc>
          <w:tcPr>
            <w:tcW w:w="80" w:type="dxa"/>
            <w:vAlign w:val="bottom"/>
          </w:tcPr>
          <w:p>
            <w:pPr>
              <w:spacing w:after="0"/>
              <w:rPr>
                <w:sz w:val="13"/>
                <w:szCs w:val="13"/>
                <w:color w:val="auto"/>
              </w:rPr>
            </w:pPr>
          </w:p>
        </w:tc>
        <w:tc>
          <w:tcPr>
            <w:tcW w:w="1860" w:type="dxa"/>
            <w:vAlign w:val="bottom"/>
          </w:tcPr>
          <w:p>
            <w:pPr>
              <w:jc w:val="right"/>
              <w:ind w:right="503"/>
              <w:spacing w:after="0"/>
              <w:rPr>
                <w:sz w:val="20"/>
                <w:szCs w:val="20"/>
                <w:color w:val="auto"/>
              </w:rPr>
            </w:pPr>
            <w:r>
              <w:rPr>
                <w:rFonts w:ascii="Arial" w:cs="Arial" w:eastAsia="Arial" w:hAnsi="Arial"/>
                <w:sz w:val="11"/>
                <w:szCs w:val="11"/>
                <w:color w:val="auto"/>
              </w:rPr>
              <w:t>15 %</w:t>
            </w:r>
          </w:p>
        </w:tc>
        <w:tc>
          <w:tcPr>
            <w:tcW w:w="840" w:type="dxa"/>
            <w:vAlign w:val="bottom"/>
          </w:tcPr>
          <w:p>
            <w:pPr>
              <w:jc w:val="right"/>
              <w:spacing w:after="0"/>
              <w:rPr>
                <w:sz w:val="20"/>
                <w:szCs w:val="20"/>
                <w:color w:val="auto"/>
              </w:rPr>
            </w:pPr>
            <w:r>
              <w:rPr>
                <w:rFonts w:ascii="Arial" w:cs="Arial" w:eastAsia="Arial" w:hAnsi="Arial"/>
                <w:sz w:val="11"/>
                <w:szCs w:val="11"/>
                <w:color w:val="auto"/>
              </w:rPr>
              <w:t>12 %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Substantially all of the revenue from these customers was from the sales of products and plans within the Medicare—Internal and Medicare—External segments.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Concentration of Credit Risk</w:t>
      </w:r>
    </w:p>
    <w:p>
      <w:pPr>
        <w:spacing w:after="0" w:line="169" w:lineRule="exact"/>
        <w:rPr>
          <w:sz w:val="20"/>
          <w:szCs w:val="20"/>
          <w:color w:val="auto"/>
        </w:rPr>
      </w:pPr>
    </w:p>
    <w:p>
      <w:pPr>
        <w:ind w:right="200"/>
        <w:spacing w:after="0" w:line="261" w:lineRule="auto"/>
        <w:rPr>
          <w:sz w:val="20"/>
          <w:szCs w:val="20"/>
          <w:color w:val="auto"/>
        </w:rPr>
      </w:pPr>
      <w:r>
        <w:rPr>
          <w:rFonts w:ascii="Arial" w:cs="Arial" w:eastAsia="Arial" w:hAnsi="Arial"/>
          <w:sz w:val="13"/>
          <w:szCs w:val="13"/>
          <w:color w:val="auto"/>
        </w:rPr>
        <w:t>The Company does not require collateral or other security in granting credit. As of June 30, 2022, three customers each represented 10% or more of the Company’s total accounts receivable and unbilled receivables and, in aggregate, represented 90.2%, or $37.4 million, of the combined total. As of December 31, 2021, three customers each represented 10% or more of the Company’s total accounts receivable and unbilled receivables and, in aggregate, represented 87%, or $28.7 million, of the combined total.</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14. SUBSEQUENT EVENTS</w:t>
      </w:r>
    </w:p>
    <w:p>
      <w:pPr>
        <w:spacing w:after="0" w:line="179" w:lineRule="exact"/>
        <w:rPr>
          <w:sz w:val="20"/>
          <w:szCs w:val="20"/>
          <w:color w:val="auto"/>
        </w:rPr>
      </w:pPr>
    </w:p>
    <w:p>
      <w:pPr>
        <w:ind w:right="20"/>
        <w:spacing w:after="0" w:line="252" w:lineRule="auto"/>
        <w:rPr>
          <w:sz w:val="20"/>
          <w:szCs w:val="20"/>
          <w:color w:val="auto"/>
        </w:rPr>
      </w:pPr>
      <w:r>
        <w:rPr>
          <w:rFonts w:ascii="Arial" w:cs="Arial" w:eastAsia="Arial" w:hAnsi="Arial"/>
          <w:sz w:val="13"/>
          <w:szCs w:val="13"/>
          <w:color w:val="auto"/>
        </w:rPr>
        <w:t>On August 12, 2022, the Company entered into Amendment No. 8 to the Credit Agreement and Incremental Facility Agreement. Refer to Note 4 “Long-term Debt” for further details. On August 9, 2022, we eliminated 835 full-time positions, representing approximately 23.7% of our workforce, primarily within our customer care and enrollment group. Total expected severance and employee-related charges are projected to be approximately $7.0 million - $9.0 million and are primarily related to termination and employee-related benefits. These charges will be settled in cash.</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type w:val="continuous"/>
        </w:sectPr>
      </w:pPr>
    </w:p>
    <w:bookmarkStart w:id="27" w:name="page28"/>
    <w:bookmarkEnd w:id="27"/>
    <w:p>
      <w:pPr>
        <w:ind w:left="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1079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t>ITEM 2. MANAGEMENT’S DISCUSSION AND ANALYSIS OF FINANCIAL CONDITIONS AND RESULTS OF OPERATIONS.</w:t>
      </w:r>
    </w:p>
    <w:p>
      <w:pPr>
        <w:spacing w:after="0" w:line="256"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i w:val="1"/>
          <w:iCs w:val="1"/>
          <w:color w:val="auto"/>
        </w:rPr>
        <w:t>This section presents management’s perspective on our financial condition and results of operations. The following discussion and analysis is intended to highlight and supplement data and information presented elsewhere in this Quarterly Report on Form 10-Q, including the Condensed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under the heading “Cautionary Note Regarding Forward-Looking Statements” in this Quarterly Report on Form 10-Q and under the heading “Item 1A. Risk Factors.” in the 2021 Form 10-K. The risks and uncertainties described in the 2021 Form 10-K are not the only ones we face. Additional risks and uncertainties not presently known to us or that we currently deem immaterial may also materially adversely affect our business, financial condition, or results of operations. We assume no obligation to update any of these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Unless otherwise noted, all dollars are in thousands. In certain cases, numbers and percentages in the tables below may not foot due to rounding.</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79"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We are a leading health insurance marketplace and Medicare-focused digital health company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agents has enabled us to enroll millions of people in Medicare and individual and family plans since our inception. With a current commissionable market of nearly $30 billion, and nearly 11,000 Americans turning 65 years old every day and our track record of significant growth in net revenues in the Medicare space in the past five years, we believe we will continue to be one of the top choices for insurance advice to help navigate one of the most important purchasing decisions individuals make.</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4" w:lineRule="exact"/>
        <w:rPr>
          <w:sz w:val="20"/>
          <w:szCs w:val="20"/>
          <w:color w:val="auto"/>
        </w:rPr>
      </w:pPr>
    </w:p>
    <w:p>
      <w:pPr>
        <w:ind w:right="120"/>
        <w:spacing w:after="0" w:line="275" w:lineRule="auto"/>
        <w:rPr>
          <w:sz w:val="20"/>
          <w:szCs w:val="20"/>
          <w:color w:val="auto"/>
        </w:rPr>
      </w:pPr>
      <w:r>
        <w:rPr>
          <w:rFonts w:ascii="Arial" w:cs="Arial" w:eastAsia="Arial" w:hAnsi="Arial"/>
          <w:sz w:val="12"/>
          <w:szCs w:val="12"/>
          <w:color w:val="auto"/>
        </w:rPr>
        <w:t>GoHealth, Inc. is the sole managing member of GoHealth Holdings, LLC. Although we have a minority economic interest in GoHealth Holdings, LLC, we have the sole voting interest in, and control of the business and affairs of, GoHealth Holdings, LLC and its direct and indirect subsidiaries. As a result, GoHealth, Inc. consolidates GoHealth Holdings, LLC and records significant non-controlling interest in a consolidated entity in GoHealth, Inc.’s Condensed Consolidated Financial Statements for the economic interest in GoHealth Holdings, LLC held directly or indirectly 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three and six months ended June 30, 2022 were 61.5% and 62.6%, respectively. The non-controlling interest holders' weighted average ownership percentages for the three and six months ended June 30, 2021 were 68.1% and 69.7%,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The percentage ownership of total shares of Class A and Class B common stock issued and outstanding as of June 30, 2022,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25</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1756410</wp:posOffset>
            </wp:positionH>
            <wp:positionV relativeFrom="page">
              <wp:posOffset>688340</wp:posOffset>
            </wp:positionV>
            <wp:extent cx="4042410" cy="1684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4042410" cy="168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80"/>
        <w:spacing w:after="0" w:line="252" w:lineRule="auto"/>
        <w:rPr>
          <w:sz w:val="20"/>
          <w:szCs w:val="20"/>
          <w:color w:val="auto"/>
        </w:rPr>
      </w:pPr>
      <w:r>
        <w:rPr>
          <w:rFonts w:ascii="Arial" w:cs="Arial" w:eastAsia="Arial" w:hAnsi="Arial"/>
          <w:sz w:val="13"/>
          <w:szCs w:val="13"/>
          <w:color w:val="auto"/>
        </w:rPr>
        <w:t>GoHealth, Inc. is subject to U.S. federal, state and local income taxes with respect to our allocable share of any taxable income of GoHealth Holdings, LLC and is taxed at the prevailing corporate tax rates. In addition to tax expenses, we also incur expenses related to our status as a public company, plus payment obligations under the TRA, which could be significant. We intend to cause GoHealth Holdings, LLC to make distributions to us in an amount sufficient to allow us to pay these expenses and fund any payments due under the TRA.</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our consolidated results of operations for the three and six months ended June 30, 2022 and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90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420"/>
              <w:spacing w:after="0"/>
              <w:rPr>
                <w:sz w:val="20"/>
                <w:szCs w:val="20"/>
                <w:color w:val="auto"/>
              </w:rPr>
            </w:pPr>
            <w:r>
              <w:rPr>
                <w:rFonts w:ascii="Arial" w:cs="Arial" w:eastAsia="Arial" w:hAnsi="Arial"/>
                <w:sz w:val="11"/>
                <w:szCs w:val="11"/>
                <w:color w:val="auto"/>
              </w:rPr>
              <w:t>Three months ended Jun. 30,</w:t>
            </w:r>
          </w:p>
        </w:tc>
        <w:tc>
          <w:tcPr>
            <w:tcW w:w="3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Arial" w:cs="Arial" w:eastAsia="Arial" w:hAnsi="Arial"/>
                <w:sz w:val="11"/>
                <w:szCs w:val="11"/>
                <w:color w:val="auto"/>
              </w:rPr>
              <w:t>Six months ended Jun. 30,</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90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603"/>
              <w:spacing w:after="0"/>
              <w:rPr>
                <w:sz w:val="20"/>
                <w:szCs w:val="20"/>
                <w:color w:val="auto"/>
              </w:rPr>
            </w:pPr>
            <w:r>
              <w:rPr>
                <w:rFonts w:ascii="Arial" w:cs="Arial" w:eastAsia="Arial" w:hAnsi="Arial"/>
                <w:sz w:val="11"/>
                <w:szCs w:val="11"/>
                <w:color w:val="auto"/>
              </w:rPr>
              <w:t>2022</w:t>
            </w:r>
          </w:p>
        </w:tc>
        <w:tc>
          <w:tcPr>
            <w:tcW w:w="380" w:type="dxa"/>
            <w:vAlign w:val="bottom"/>
            <w:tcBorders>
              <w:bottom w:val="single" w:sz="8" w:color="929292"/>
            </w:tcBorders>
          </w:tcPr>
          <w:p>
            <w:pPr>
              <w:spacing w:after="0"/>
              <w:rPr>
                <w:sz w:val="13"/>
                <w:szCs w:val="13"/>
                <w:color w:val="auto"/>
              </w:rPr>
            </w:pPr>
          </w:p>
        </w:tc>
        <w:tc>
          <w:tcPr>
            <w:tcW w:w="112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929292"/>
            </w:tcBorders>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140" w:type="dxa"/>
            <w:vAlign w:val="bottom"/>
            <w:tcBorders>
              <w:bottom w:val="single" w:sz="8" w:color="929292"/>
            </w:tcBorders>
          </w:tcPr>
          <w:p>
            <w:pPr>
              <w:jc w:val="right"/>
              <w:ind w:right="583"/>
              <w:spacing w:after="0"/>
              <w:rPr>
                <w:sz w:val="20"/>
                <w:szCs w:val="20"/>
                <w:color w:val="auto"/>
              </w:rPr>
            </w:pPr>
            <w:r>
              <w:rPr>
                <w:rFonts w:ascii="Arial" w:cs="Arial" w:eastAsia="Arial" w:hAnsi="Arial"/>
                <w:sz w:val="11"/>
                <w:szCs w:val="11"/>
                <w:color w:val="auto"/>
              </w:rPr>
              <w:t>2022</w:t>
            </w:r>
          </w:p>
        </w:tc>
        <w:tc>
          <w:tcPr>
            <w:tcW w:w="820" w:type="dxa"/>
            <w:vAlign w:val="bottom"/>
            <w:tcBorders>
              <w:bottom w:val="single" w:sz="8" w:color="929292"/>
            </w:tcBorders>
          </w:tcPr>
          <w:p>
            <w:pPr>
              <w:spacing w:after="0"/>
              <w:rPr>
                <w:sz w:val="13"/>
                <w:szCs w:val="13"/>
                <w:color w:val="auto"/>
              </w:rPr>
            </w:pPr>
          </w:p>
        </w:tc>
        <w:tc>
          <w:tcPr>
            <w:tcW w:w="88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147"/>
        </w:trPr>
        <w:tc>
          <w:tcPr>
            <w:tcW w:w="4900" w:type="dxa"/>
            <w:vAlign w:val="bottom"/>
          </w:tcPr>
          <w:p>
            <w:pPr>
              <w:ind w:left="20"/>
              <w:spacing w:after="0"/>
              <w:rPr>
                <w:sz w:val="20"/>
                <w:szCs w:val="20"/>
                <w:color w:val="auto"/>
              </w:rPr>
            </w:pPr>
            <w:r>
              <w:rPr>
                <w:rFonts w:ascii="Arial" w:cs="Arial" w:eastAsia="Arial" w:hAnsi="Arial"/>
                <w:sz w:val="11"/>
                <w:szCs w:val="11"/>
                <w:i w:val="1"/>
                <w:iCs w:val="1"/>
                <w:color w:val="auto"/>
              </w:rPr>
              <w:t>Net revenues:</w:t>
            </w:r>
          </w:p>
        </w:tc>
        <w:tc>
          <w:tcPr>
            <w:tcW w:w="100" w:type="dxa"/>
            <w:vAlign w:val="bottom"/>
            <w:shd w:val="clear" w:color="auto" w:fill="929292"/>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900" w:type="dxa"/>
            <w:vAlign w:val="bottom"/>
          </w:tcPr>
          <w:p>
            <w:pPr>
              <w:ind w:left="20"/>
              <w:spacing w:after="0"/>
              <w:rPr>
                <w:sz w:val="20"/>
                <w:szCs w:val="20"/>
                <w:color w:val="auto"/>
              </w:rPr>
            </w:pPr>
            <w:r>
              <w:rPr>
                <w:rFonts w:ascii="Arial" w:cs="Arial" w:eastAsia="Arial" w:hAnsi="Arial"/>
                <w:sz w:val="11"/>
                <w:szCs w:val="11"/>
                <w:color w:val="auto"/>
              </w:rPr>
              <w:t>Commission</w:t>
            </w:r>
          </w:p>
        </w:tc>
        <w:tc>
          <w:tcPr>
            <w:tcW w:w="100" w:type="dxa"/>
            <w:vAlign w:val="bottom"/>
            <w:shd w:val="clear" w:color="auto" w:fill="929292"/>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118,038</w:t>
            </w:r>
          </w:p>
        </w:tc>
        <w:tc>
          <w:tcPr>
            <w:tcW w:w="3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147,508</w:t>
            </w:r>
          </w:p>
        </w:tc>
        <w:tc>
          <w:tcPr>
            <w:tcW w:w="8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123"/>
              <w:spacing w:after="0"/>
              <w:rPr>
                <w:sz w:val="20"/>
                <w:szCs w:val="20"/>
                <w:color w:val="auto"/>
              </w:rPr>
            </w:pPr>
            <w:r>
              <w:rPr>
                <w:rFonts w:ascii="Arial" w:cs="Arial" w:eastAsia="Arial" w:hAnsi="Arial"/>
                <w:sz w:val="11"/>
                <w:szCs w:val="11"/>
                <w:color w:val="auto"/>
              </w:rPr>
              <w:t>327,677</w:t>
            </w:r>
          </w:p>
        </w:tc>
        <w:tc>
          <w:tcPr>
            <w:tcW w:w="820" w:type="dxa"/>
            <w:vAlign w:val="bottom"/>
          </w:tcPr>
          <w:p>
            <w:pPr>
              <w:jc w:val="right"/>
              <w:ind w:right="44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321,489</w:t>
            </w:r>
          </w:p>
        </w:tc>
        <w:tc>
          <w:tcPr>
            <w:tcW w:w="0" w:type="dxa"/>
            <w:vAlign w:val="bottom"/>
          </w:tcPr>
          <w:p>
            <w:pPr>
              <w:spacing w:after="0"/>
              <w:rPr>
                <w:sz w:val="1"/>
                <w:szCs w:val="1"/>
                <w:color w:val="auto"/>
              </w:rPr>
            </w:pPr>
          </w:p>
        </w:tc>
      </w:tr>
      <w:tr>
        <w:trPr>
          <w:trHeight w:val="159"/>
        </w:trPr>
        <w:tc>
          <w:tcPr>
            <w:tcW w:w="4900" w:type="dxa"/>
            <w:vAlign w:val="bottom"/>
          </w:tcPr>
          <w:p>
            <w:pPr>
              <w:ind w:left="20"/>
              <w:spacing w:after="0"/>
              <w:rPr>
                <w:sz w:val="20"/>
                <w:szCs w:val="20"/>
                <w:color w:val="auto"/>
              </w:rPr>
            </w:pPr>
            <w:r>
              <w:rPr>
                <w:rFonts w:ascii="Arial" w:cs="Arial" w:eastAsia="Arial" w:hAnsi="Arial"/>
                <w:sz w:val="11"/>
                <w:szCs w:val="11"/>
                <w:color w:val="auto"/>
              </w:rPr>
              <w:t>Enterprise</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143"/>
              <w:spacing w:after="0"/>
              <w:rPr>
                <w:sz w:val="20"/>
                <w:szCs w:val="20"/>
                <w:color w:val="auto"/>
              </w:rPr>
            </w:pPr>
            <w:r>
              <w:rPr>
                <w:rFonts w:ascii="Arial" w:cs="Arial" w:eastAsia="Arial" w:hAnsi="Arial"/>
                <w:sz w:val="11"/>
                <w:szCs w:val="11"/>
                <w:color w:val="auto"/>
              </w:rPr>
              <w:t>40,616</w:t>
            </w:r>
          </w:p>
        </w:tc>
        <w:tc>
          <w:tcPr>
            <w:tcW w:w="380" w:type="dxa"/>
            <w:vAlign w:val="bottom"/>
            <w:tcBorders>
              <w:bottom w:val="single" w:sz="8" w:color="929292"/>
            </w:tcBorders>
          </w:tcPr>
          <w:p>
            <w:pPr>
              <w:spacing w:after="0"/>
              <w:rPr>
                <w:sz w:val="13"/>
                <w:szCs w:val="13"/>
                <w:color w:val="auto"/>
              </w:rPr>
            </w:pPr>
          </w:p>
        </w:tc>
        <w:tc>
          <w:tcPr>
            <w:tcW w:w="112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49,394</w:t>
            </w:r>
          </w:p>
        </w:tc>
        <w:tc>
          <w:tcPr>
            <w:tcW w:w="80" w:type="dxa"/>
            <w:vAlign w:val="bottom"/>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14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color w:val="auto"/>
              </w:rPr>
              <w:t>101,570</w:t>
            </w:r>
          </w:p>
        </w:tc>
        <w:tc>
          <w:tcPr>
            <w:tcW w:w="820" w:type="dxa"/>
            <w:vAlign w:val="bottom"/>
            <w:tcBorders>
              <w:bottom w:val="single" w:sz="8" w:color="929292"/>
            </w:tcBorders>
          </w:tcPr>
          <w:p>
            <w:pPr>
              <w:spacing w:after="0"/>
              <w:rPr>
                <w:sz w:val="13"/>
                <w:szCs w:val="13"/>
                <w:color w:val="auto"/>
              </w:rPr>
            </w:pPr>
          </w:p>
        </w:tc>
        <w:tc>
          <w:tcPr>
            <w:tcW w:w="88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79,592</w:t>
            </w:r>
          </w:p>
        </w:tc>
        <w:tc>
          <w:tcPr>
            <w:tcW w:w="0" w:type="dxa"/>
            <w:vAlign w:val="bottom"/>
          </w:tcPr>
          <w:p>
            <w:pPr>
              <w:spacing w:after="0"/>
              <w:rPr>
                <w:sz w:val="1"/>
                <w:szCs w:val="1"/>
                <w:color w:val="auto"/>
              </w:rPr>
            </w:pPr>
          </w:p>
        </w:tc>
      </w:tr>
      <w:tr>
        <w:trPr>
          <w:trHeight w:val="156"/>
        </w:trPr>
        <w:tc>
          <w:tcPr>
            <w:tcW w:w="4900" w:type="dxa"/>
            <w:vAlign w:val="bottom"/>
          </w:tcPr>
          <w:p>
            <w:pPr>
              <w:ind w:left="20"/>
              <w:spacing w:after="0"/>
              <w:rPr>
                <w:sz w:val="20"/>
                <w:szCs w:val="20"/>
                <w:color w:val="auto"/>
              </w:rPr>
            </w:pPr>
            <w:r>
              <w:rPr>
                <w:rFonts w:ascii="Arial" w:cs="Arial" w:eastAsia="Arial" w:hAnsi="Arial"/>
                <w:sz w:val="11"/>
                <w:szCs w:val="11"/>
                <w:b w:val="1"/>
                <w:bCs w:val="1"/>
                <w:color w:val="auto"/>
              </w:rPr>
              <w:t>Net revenues</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143"/>
              <w:spacing w:after="0"/>
              <w:rPr>
                <w:sz w:val="20"/>
                <w:szCs w:val="20"/>
                <w:color w:val="auto"/>
              </w:rPr>
            </w:pPr>
            <w:r>
              <w:rPr>
                <w:rFonts w:ascii="Arial" w:cs="Arial" w:eastAsia="Arial" w:hAnsi="Arial"/>
                <w:sz w:val="11"/>
                <w:szCs w:val="11"/>
                <w:b w:val="1"/>
                <w:bCs w:val="1"/>
                <w:color w:val="auto"/>
              </w:rPr>
              <w:t>158,654</w:t>
            </w:r>
          </w:p>
        </w:tc>
        <w:tc>
          <w:tcPr>
            <w:tcW w:w="380" w:type="dxa"/>
            <w:vAlign w:val="bottom"/>
            <w:tcBorders>
              <w:bottom w:val="single" w:sz="8" w:color="929292"/>
            </w:tcBorders>
          </w:tcPr>
          <w:p>
            <w:pPr>
              <w:spacing w:after="0"/>
              <w:rPr>
                <w:sz w:val="13"/>
                <w:szCs w:val="13"/>
                <w:color w:val="auto"/>
              </w:rPr>
            </w:pPr>
          </w:p>
        </w:tc>
        <w:tc>
          <w:tcPr>
            <w:tcW w:w="112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196,902</w:t>
            </w:r>
          </w:p>
        </w:tc>
        <w:tc>
          <w:tcPr>
            <w:tcW w:w="80" w:type="dxa"/>
            <w:vAlign w:val="bottom"/>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14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b w:val="1"/>
                <w:bCs w:val="1"/>
                <w:color w:val="auto"/>
              </w:rPr>
              <w:t>429,247</w:t>
            </w:r>
          </w:p>
        </w:tc>
        <w:tc>
          <w:tcPr>
            <w:tcW w:w="820" w:type="dxa"/>
            <w:vAlign w:val="bottom"/>
            <w:tcBorders>
              <w:bottom w:val="single" w:sz="8" w:color="929292"/>
            </w:tcBorders>
          </w:tcPr>
          <w:p>
            <w:pPr>
              <w:jc w:val="right"/>
              <w:ind w:right="603"/>
              <w:spacing w:after="0"/>
              <w:rPr>
                <w:sz w:val="20"/>
                <w:szCs w:val="20"/>
                <w:color w:val="auto"/>
              </w:rPr>
            </w:pPr>
            <w:r>
              <w:rPr>
                <w:rFonts w:ascii="Arial" w:cs="Arial" w:eastAsia="Arial" w:hAnsi="Arial"/>
                <w:sz w:val="11"/>
                <w:szCs w:val="11"/>
                <w:b w:val="1"/>
                <w:bCs w:val="1"/>
                <w:color w:val="auto"/>
              </w:rPr>
              <w:t>—</w:t>
            </w:r>
          </w:p>
        </w:tc>
        <w:tc>
          <w:tcPr>
            <w:tcW w:w="88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401,081</w:t>
            </w:r>
          </w:p>
        </w:tc>
        <w:tc>
          <w:tcPr>
            <w:tcW w:w="0" w:type="dxa"/>
            <w:vAlign w:val="bottom"/>
          </w:tcPr>
          <w:p>
            <w:pPr>
              <w:spacing w:after="0"/>
              <w:rPr>
                <w:sz w:val="1"/>
                <w:szCs w:val="1"/>
                <w:color w:val="auto"/>
              </w:rPr>
            </w:pPr>
          </w:p>
        </w:tc>
      </w:tr>
      <w:tr>
        <w:trPr>
          <w:trHeight w:val="133"/>
        </w:trPr>
        <w:tc>
          <w:tcPr>
            <w:tcW w:w="4900" w:type="dxa"/>
            <w:vAlign w:val="bottom"/>
          </w:tcPr>
          <w:p>
            <w:pPr>
              <w:ind w:left="20"/>
              <w:spacing w:after="0"/>
              <w:rPr>
                <w:sz w:val="20"/>
                <w:szCs w:val="20"/>
                <w:color w:val="auto"/>
              </w:rPr>
            </w:pPr>
            <w:r>
              <w:rPr>
                <w:rFonts w:ascii="Arial" w:cs="Arial" w:eastAsia="Arial" w:hAnsi="Arial"/>
                <w:sz w:val="11"/>
                <w:szCs w:val="11"/>
                <w:i w:val="1"/>
                <w:iCs w:val="1"/>
                <w:color w:val="auto"/>
              </w:rPr>
              <w:t>Operating expenses:</w:t>
            </w:r>
          </w:p>
        </w:tc>
        <w:tc>
          <w:tcPr>
            <w:tcW w:w="100" w:type="dxa"/>
            <w:vAlign w:val="bottom"/>
            <w:shd w:val="clear" w:color="auto" w:fill="929292"/>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900" w:type="dxa"/>
            <w:vAlign w:val="bottom"/>
          </w:tcPr>
          <w:p>
            <w:pPr>
              <w:ind w:left="20"/>
              <w:spacing w:after="0"/>
              <w:rPr>
                <w:sz w:val="20"/>
                <w:szCs w:val="20"/>
                <w:color w:val="auto"/>
              </w:rPr>
            </w:pPr>
            <w:r>
              <w:rPr>
                <w:rFonts w:ascii="Arial" w:cs="Arial" w:eastAsia="Arial" w:hAnsi="Arial"/>
                <w:sz w:val="11"/>
                <w:szCs w:val="11"/>
                <w:color w:val="auto"/>
              </w:rPr>
              <w:t>Cost of revenue</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51,074</w:t>
            </w:r>
          </w:p>
        </w:tc>
        <w:tc>
          <w:tcPr>
            <w:tcW w:w="380" w:type="dxa"/>
            <w:vAlign w:val="bottom"/>
          </w:tcPr>
          <w:p>
            <w:pPr>
              <w:spacing w:after="0"/>
              <w:rPr>
                <w:sz w:val="13"/>
                <w:szCs w:val="13"/>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37,442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23"/>
              <w:spacing w:after="0"/>
              <w:rPr>
                <w:sz w:val="20"/>
                <w:szCs w:val="20"/>
                <w:color w:val="auto"/>
              </w:rPr>
            </w:pPr>
            <w:r>
              <w:rPr>
                <w:rFonts w:ascii="Arial" w:cs="Arial" w:eastAsia="Arial" w:hAnsi="Arial"/>
                <w:sz w:val="11"/>
                <w:szCs w:val="11"/>
                <w:color w:val="auto"/>
              </w:rPr>
              <w:t>118,997</w:t>
            </w:r>
          </w:p>
        </w:tc>
        <w:tc>
          <w:tcPr>
            <w:tcW w:w="820" w:type="dxa"/>
            <w:vAlign w:val="bottom"/>
          </w:tcPr>
          <w:p>
            <w:pPr>
              <w:spacing w:after="0"/>
              <w:rPr>
                <w:sz w:val="13"/>
                <w:szCs w:val="13"/>
                <w:color w:val="auto"/>
              </w:rPr>
            </w:pP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85,817</w:t>
            </w:r>
          </w:p>
        </w:tc>
        <w:tc>
          <w:tcPr>
            <w:tcW w:w="0" w:type="dxa"/>
            <w:vAlign w:val="bottom"/>
          </w:tcPr>
          <w:p>
            <w:pPr>
              <w:spacing w:after="0"/>
              <w:rPr>
                <w:sz w:val="1"/>
                <w:szCs w:val="1"/>
                <w:color w:val="auto"/>
              </w:rPr>
            </w:pPr>
          </w:p>
        </w:tc>
      </w:tr>
      <w:tr>
        <w:trPr>
          <w:trHeight w:val="159"/>
        </w:trPr>
        <w:tc>
          <w:tcPr>
            <w:tcW w:w="4900" w:type="dxa"/>
            <w:vAlign w:val="bottom"/>
          </w:tcPr>
          <w:p>
            <w:pPr>
              <w:ind w:left="20"/>
              <w:spacing w:after="0"/>
              <w:rPr>
                <w:sz w:val="20"/>
                <w:szCs w:val="20"/>
                <w:color w:val="auto"/>
              </w:rPr>
            </w:pPr>
            <w:r>
              <w:rPr>
                <w:rFonts w:ascii="Arial" w:cs="Arial" w:eastAsia="Arial" w:hAnsi="Arial"/>
                <w:sz w:val="11"/>
                <w:szCs w:val="11"/>
                <w:color w:val="auto"/>
              </w:rPr>
              <w:t>Marketing and advertising</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44,714</w:t>
            </w:r>
          </w:p>
        </w:tc>
        <w:tc>
          <w:tcPr>
            <w:tcW w:w="380" w:type="dxa"/>
            <w:vAlign w:val="bottom"/>
          </w:tcPr>
          <w:p>
            <w:pPr>
              <w:spacing w:after="0"/>
              <w:rPr>
                <w:sz w:val="13"/>
                <w:szCs w:val="13"/>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55,735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23"/>
              <w:spacing w:after="0"/>
              <w:rPr>
                <w:sz w:val="20"/>
                <w:szCs w:val="20"/>
                <w:color w:val="auto"/>
              </w:rPr>
            </w:pPr>
            <w:r>
              <w:rPr>
                <w:rFonts w:ascii="Arial" w:cs="Arial" w:eastAsia="Arial" w:hAnsi="Arial"/>
                <w:sz w:val="11"/>
                <w:szCs w:val="11"/>
                <w:color w:val="auto"/>
              </w:rPr>
              <w:t>128,747</w:t>
            </w:r>
          </w:p>
        </w:tc>
        <w:tc>
          <w:tcPr>
            <w:tcW w:w="820" w:type="dxa"/>
            <w:vAlign w:val="bottom"/>
          </w:tcPr>
          <w:p>
            <w:pPr>
              <w:spacing w:after="0"/>
              <w:rPr>
                <w:sz w:val="13"/>
                <w:szCs w:val="13"/>
                <w:color w:val="auto"/>
              </w:rPr>
            </w:pP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110,219</w:t>
            </w:r>
          </w:p>
        </w:tc>
        <w:tc>
          <w:tcPr>
            <w:tcW w:w="0" w:type="dxa"/>
            <w:vAlign w:val="bottom"/>
          </w:tcPr>
          <w:p>
            <w:pPr>
              <w:spacing w:after="0"/>
              <w:rPr>
                <w:sz w:val="1"/>
                <w:szCs w:val="1"/>
                <w:color w:val="auto"/>
              </w:rPr>
            </w:pPr>
          </w:p>
        </w:tc>
      </w:tr>
      <w:tr>
        <w:trPr>
          <w:trHeight w:val="159"/>
        </w:trPr>
        <w:tc>
          <w:tcPr>
            <w:tcW w:w="4900" w:type="dxa"/>
            <w:vAlign w:val="bottom"/>
          </w:tcPr>
          <w:p>
            <w:pPr>
              <w:ind w:left="20"/>
              <w:spacing w:after="0"/>
              <w:rPr>
                <w:sz w:val="20"/>
                <w:szCs w:val="20"/>
                <w:color w:val="auto"/>
              </w:rPr>
            </w:pPr>
            <w:r>
              <w:rPr>
                <w:rFonts w:ascii="Arial" w:cs="Arial" w:eastAsia="Arial" w:hAnsi="Arial"/>
                <w:sz w:val="11"/>
                <w:szCs w:val="11"/>
                <w:color w:val="auto"/>
              </w:rPr>
              <w:t>Customer care and enrollment</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66,542</w:t>
            </w:r>
          </w:p>
        </w:tc>
        <w:tc>
          <w:tcPr>
            <w:tcW w:w="380" w:type="dxa"/>
            <w:vAlign w:val="bottom"/>
          </w:tcPr>
          <w:p>
            <w:pPr>
              <w:spacing w:after="0"/>
              <w:rPr>
                <w:sz w:val="13"/>
                <w:szCs w:val="13"/>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61,927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23"/>
              <w:spacing w:after="0"/>
              <w:rPr>
                <w:sz w:val="20"/>
                <w:szCs w:val="20"/>
                <w:color w:val="auto"/>
              </w:rPr>
            </w:pPr>
            <w:r>
              <w:rPr>
                <w:rFonts w:ascii="Arial" w:cs="Arial" w:eastAsia="Arial" w:hAnsi="Arial"/>
                <w:sz w:val="11"/>
                <w:szCs w:val="11"/>
                <w:color w:val="auto"/>
              </w:rPr>
              <w:t>144,997</w:t>
            </w:r>
          </w:p>
        </w:tc>
        <w:tc>
          <w:tcPr>
            <w:tcW w:w="820" w:type="dxa"/>
            <w:vAlign w:val="bottom"/>
          </w:tcPr>
          <w:p>
            <w:pPr>
              <w:spacing w:after="0"/>
              <w:rPr>
                <w:sz w:val="13"/>
                <w:szCs w:val="13"/>
                <w:color w:val="auto"/>
              </w:rPr>
            </w:pP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109,021</w:t>
            </w:r>
          </w:p>
        </w:tc>
        <w:tc>
          <w:tcPr>
            <w:tcW w:w="0" w:type="dxa"/>
            <w:vAlign w:val="bottom"/>
          </w:tcPr>
          <w:p>
            <w:pPr>
              <w:spacing w:after="0"/>
              <w:rPr>
                <w:sz w:val="1"/>
                <w:szCs w:val="1"/>
                <w:color w:val="auto"/>
              </w:rPr>
            </w:pPr>
          </w:p>
        </w:tc>
      </w:tr>
      <w:tr>
        <w:trPr>
          <w:trHeight w:val="159"/>
        </w:trPr>
        <w:tc>
          <w:tcPr>
            <w:tcW w:w="4900" w:type="dxa"/>
            <w:vAlign w:val="bottom"/>
          </w:tcPr>
          <w:p>
            <w:pPr>
              <w:ind w:left="20"/>
              <w:spacing w:after="0"/>
              <w:rPr>
                <w:sz w:val="20"/>
                <w:szCs w:val="20"/>
                <w:color w:val="auto"/>
              </w:rPr>
            </w:pPr>
            <w:r>
              <w:rPr>
                <w:rFonts w:ascii="Arial" w:cs="Arial" w:eastAsia="Arial" w:hAnsi="Arial"/>
                <w:sz w:val="11"/>
                <w:szCs w:val="11"/>
                <w:color w:val="auto"/>
              </w:rPr>
              <w:t>Technology</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10,749</w:t>
            </w:r>
          </w:p>
        </w:tc>
        <w:tc>
          <w:tcPr>
            <w:tcW w:w="380" w:type="dxa"/>
            <w:vAlign w:val="bottom"/>
          </w:tcPr>
          <w:p>
            <w:pPr>
              <w:spacing w:after="0"/>
              <w:rPr>
                <w:sz w:val="13"/>
                <w:szCs w:val="13"/>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11,983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23"/>
              <w:spacing w:after="0"/>
              <w:rPr>
                <w:sz w:val="20"/>
                <w:szCs w:val="20"/>
                <w:color w:val="auto"/>
              </w:rPr>
            </w:pPr>
            <w:r>
              <w:rPr>
                <w:rFonts w:ascii="Arial" w:cs="Arial" w:eastAsia="Arial" w:hAnsi="Arial"/>
                <w:sz w:val="11"/>
                <w:szCs w:val="11"/>
                <w:color w:val="auto"/>
              </w:rPr>
              <w:t>23,508</w:t>
            </w:r>
          </w:p>
        </w:tc>
        <w:tc>
          <w:tcPr>
            <w:tcW w:w="820" w:type="dxa"/>
            <w:vAlign w:val="bottom"/>
          </w:tcPr>
          <w:p>
            <w:pPr>
              <w:spacing w:after="0"/>
              <w:rPr>
                <w:sz w:val="13"/>
                <w:szCs w:val="13"/>
                <w:color w:val="auto"/>
              </w:rPr>
            </w:pP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21,600</w:t>
            </w:r>
          </w:p>
        </w:tc>
        <w:tc>
          <w:tcPr>
            <w:tcW w:w="0" w:type="dxa"/>
            <w:vAlign w:val="bottom"/>
          </w:tcPr>
          <w:p>
            <w:pPr>
              <w:spacing w:after="0"/>
              <w:rPr>
                <w:sz w:val="1"/>
                <w:szCs w:val="1"/>
                <w:color w:val="auto"/>
              </w:rPr>
            </w:pPr>
          </w:p>
        </w:tc>
      </w:tr>
      <w:tr>
        <w:trPr>
          <w:trHeight w:val="159"/>
        </w:trPr>
        <w:tc>
          <w:tcPr>
            <w:tcW w:w="490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38,106</w:t>
            </w:r>
          </w:p>
        </w:tc>
        <w:tc>
          <w:tcPr>
            <w:tcW w:w="380" w:type="dxa"/>
            <w:vAlign w:val="bottom"/>
          </w:tcPr>
          <w:p>
            <w:pPr>
              <w:spacing w:after="0"/>
              <w:rPr>
                <w:sz w:val="13"/>
                <w:szCs w:val="13"/>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25,297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23"/>
              <w:spacing w:after="0"/>
              <w:rPr>
                <w:sz w:val="20"/>
                <w:szCs w:val="20"/>
                <w:color w:val="auto"/>
              </w:rPr>
            </w:pPr>
            <w:r>
              <w:rPr>
                <w:rFonts w:ascii="Arial" w:cs="Arial" w:eastAsia="Arial" w:hAnsi="Arial"/>
                <w:sz w:val="11"/>
                <w:szCs w:val="11"/>
                <w:color w:val="auto"/>
              </w:rPr>
              <w:t>67,323</w:t>
            </w:r>
          </w:p>
        </w:tc>
        <w:tc>
          <w:tcPr>
            <w:tcW w:w="820" w:type="dxa"/>
            <w:vAlign w:val="bottom"/>
          </w:tcPr>
          <w:p>
            <w:pPr>
              <w:spacing w:after="0"/>
              <w:rPr>
                <w:sz w:val="13"/>
                <w:szCs w:val="13"/>
                <w:color w:val="auto"/>
              </w:rPr>
            </w:pP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44,982</w:t>
            </w:r>
          </w:p>
        </w:tc>
        <w:tc>
          <w:tcPr>
            <w:tcW w:w="0" w:type="dxa"/>
            <w:vAlign w:val="bottom"/>
          </w:tcPr>
          <w:p>
            <w:pPr>
              <w:spacing w:after="0"/>
              <w:rPr>
                <w:sz w:val="1"/>
                <w:szCs w:val="1"/>
                <w:color w:val="auto"/>
              </w:rPr>
            </w:pPr>
          </w:p>
        </w:tc>
      </w:tr>
      <w:tr>
        <w:trPr>
          <w:trHeight w:val="159"/>
        </w:trPr>
        <w:tc>
          <w:tcPr>
            <w:tcW w:w="4900" w:type="dxa"/>
            <w:vAlign w:val="bottom"/>
          </w:tcPr>
          <w:p>
            <w:pPr>
              <w:ind w:left="20"/>
              <w:spacing w:after="0"/>
              <w:rPr>
                <w:sz w:val="20"/>
                <w:szCs w:val="20"/>
                <w:color w:val="auto"/>
              </w:rPr>
            </w:pPr>
            <w:r>
              <w:rPr>
                <w:rFonts w:ascii="Arial" w:cs="Arial" w:eastAsia="Arial" w:hAnsi="Arial"/>
                <w:sz w:val="11"/>
                <w:szCs w:val="11"/>
                <w:color w:val="auto"/>
              </w:rPr>
              <w:t>Amortization of intangible assets</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23,515</w:t>
            </w:r>
          </w:p>
        </w:tc>
        <w:tc>
          <w:tcPr>
            <w:tcW w:w="380" w:type="dxa"/>
            <w:vAlign w:val="bottom"/>
          </w:tcPr>
          <w:p>
            <w:pPr>
              <w:spacing w:after="0"/>
              <w:rPr>
                <w:sz w:val="13"/>
                <w:szCs w:val="13"/>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23,515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23"/>
              <w:spacing w:after="0"/>
              <w:rPr>
                <w:sz w:val="20"/>
                <w:szCs w:val="20"/>
                <w:color w:val="auto"/>
              </w:rPr>
            </w:pPr>
            <w:r>
              <w:rPr>
                <w:rFonts w:ascii="Arial" w:cs="Arial" w:eastAsia="Arial" w:hAnsi="Arial"/>
                <w:sz w:val="11"/>
                <w:szCs w:val="11"/>
                <w:color w:val="auto"/>
              </w:rPr>
              <w:t>47,029</w:t>
            </w:r>
          </w:p>
        </w:tc>
        <w:tc>
          <w:tcPr>
            <w:tcW w:w="820" w:type="dxa"/>
            <w:vAlign w:val="bottom"/>
          </w:tcPr>
          <w:p>
            <w:pPr>
              <w:spacing w:after="0"/>
              <w:rPr>
                <w:sz w:val="13"/>
                <w:szCs w:val="13"/>
                <w:color w:val="auto"/>
              </w:rPr>
            </w:pP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47,029</w:t>
            </w:r>
          </w:p>
        </w:tc>
        <w:tc>
          <w:tcPr>
            <w:tcW w:w="0" w:type="dxa"/>
            <w:vAlign w:val="bottom"/>
          </w:tcPr>
          <w:p>
            <w:pPr>
              <w:spacing w:after="0"/>
              <w:rPr>
                <w:sz w:val="1"/>
                <w:szCs w:val="1"/>
                <w:color w:val="auto"/>
              </w:rPr>
            </w:pPr>
          </w:p>
        </w:tc>
      </w:tr>
      <w:tr>
        <w:trPr>
          <w:trHeight w:val="159"/>
        </w:trPr>
        <w:tc>
          <w:tcPr>
            <w:tcW w:w="4900" w:type="dxa"/>
            <w:vAlign w:val="bottom"/>
          </w:tcPr>
          <w:p>
            <w:pPr>
              <w:ind w:left="20"/>
              <w:spacing w:after="0"/>
              <w:rPr>
                <w:sz w:val="20"/>
                <w:szCs w:val="20"/>
                <w:color w:val="auto"/>
              </w:rPr>
            </w:pPr>
            <w:r>
              <w:rPr>
                <w:rFonts w:ascii="Arial" w:cs="Arial" w:eastAsia="Arial" w:hAnsi="Arial"/>
                <w:sz w:val="11"/>
                <w:szCs w:val="11"/>
                <w:color w:val="auto"/>
              </w:rPr>
              <w:t>Operating lease impairment charges</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24,995</w:t>
            </w:r>
          </w:p>
        </w:tc>
        <w:tc>
          <w:tcPr>
            <w:tcW w:w="3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140" w:type="dxa"/>
            <w:vAlign w:val="bottom"/>
          </w:tcPr>
          <w:p>
            <w:pPr>
              <w:jc w:val="right"/>
              <w:ind w:right="123"/>
              <w:spacing w:after="0"/>
              <w:rPr>
                <w:sz w:val="20"/>
                <w:szCs w:val="20"/>
                <w:color w:val="auto"/>
              </w:rPr>
            </w:pPr>
            <w:r>
              <w:rPr>
                <w:rFonts w:ascii="Arial" w:cs="Arial" w:eastAsia="Arial" w:hAnsi="Arial"/>
                <w:sz w:val="11"/>
                <w:szCs w:val="11"/>
                <w:color w:val="auto"/>
              </w:rPr>
              <w:t>24,995</w:t>
            </w:r>
          </w:p>
        </w:tc>
        <w:tc>
          <w:tcPr>
            <w:tcW w:w="820" w:type="dxa"/>
            <w:vAlign w:val="bottom"/>
          </w:tcPr>
          <w:p>
            <w:pPr>
              <w:spacing w:after="0"/>
              <w:rPr>
                <w:sz w:val="13"/>
                <w:szCs w:val="13"/>
                <w:color w:val="auto"/>
              </w:rPr>
            </w:pP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4900" w:type="dxa"/>
            <w:vAlign w:val="bottom"/>
          </w:tcPr>
          <w:p>
            <w:pPr>
              <w:ind w:left="20"/>
              <w:spacing w:after="0"/>
              <w:rPr>
                <w:sz w:val="20"/>
                <w:szCs w:val="20"/>
                <w:color w:val="auto"/>
              </w:rPr>
            </w:pPr>
            <w:r>
              <w:rPr>
                <w:rFonts w:ascii="Arial" w:cs="Arial" w:eastAsia="Arial" w:hAnsi="Arial"/>
                <w:sz w:val="11"/>
                <w:szCs w:val="11"/>
                <w:b w:val="1"/>
                <w:bCs w:val="1"/>
                <w:color w:val="auto"/>
              </w:rPr>
              <w:t>Total operating expenses</w:t>
            </w:r>
          </w:p>
        </w:tc>
        <w:tc>
          <w:tcPr>
            <w:tcW w:w="100" w:type="dxa"/>
            <w:vAlign w:val="bottom"/>
            <w:tcBorders>
              <w:top w:val="single" w:sz="8" w:color="929292"/>
              <w:bottom w:val="single" w:sz="8" w:color="929292"/>
            </w:tcBorders>
            <w:shd w:val="clear" w:color="auto" w:fill="929292"/>
          </w:tcPr>
          <w:p>
            <w:pPr>
              <w:spacing w:after="0"/>
              <w:rPr>
                <w:sz w:val="13"/>
                <w:szCs w:val="13"/>
                <w:color w:val="auto"/>
              </w:rPr>
            </w:pPr>
          </w:p>
        </w:tc>
        <w:tc>
          <w:tcPr>
            <w:tcW w:w="340" w:type="dxa"/>
            <w:vAlign w:val="bottom"/>
            <w:tcBorders>
              <w:top w:val="single" w:sz="8" w:color="929292"/>
              <w:bottom w:val="single" w:sz="8" w:color="929292"/>
            </w:tcBorders>
          </w:tcPr>
          <w:p>
            <w:pPr>
              <w:spacing w:after="0"/>
              <w:rPr>
                <w:sz w:val="13"/>
                <w:szCs w:val="13"/>
                <w:color w:val="auto"/>
              </w:rPr>
            </w:pPr>
          </w:p>
        </w:tc>
        <w:tc>
          <w:tcPr>
            <w:tcW w:w="1160" w:type="dxa"/>
            <w:vAlign w:val="bottom"/>
            <w:tcBorders>
              <w:top w:val="single" w:sz="8" w:color="929292"/>
              <w:bottom w:val="single" w:sz="8" w:color="929292"/>
            </w:tcBorders>
          </w:tcPr>
          <w:p>
            <w:pPr>
              <w:jc w:val="right"/>
              <w:ind w:right="143"/>
              <w:spacing w:after="0"/>
              <w:rPr>
                <w:sz w:val="20"/>
                <w:szCs w:val="20"/>
                <w:color w:val="auto"/>
              </w:rPr>
            </w:pPr>
            <w:r>
              <w:rPr>
                <w:rFonts w:ascii="Arial" w:cs="Arial" w:eastAsia="Arial" w:hAnsi="Arial"/>
                <w:sz w:val="11"/>
                <w:szCs w:val="11"/>
                <w:b w:val="1"/>
                <w:bCs w:val="1"/>
                <w:color w:val="auto"/>
              </w:rPr>
              <w:t>259,695</w:t>
            </w:r>
          </w:p>
        </w:tc>
        <w:tc>
          <w:tcPr>
            <w:tcW w:w="380" w:type="dxa"/>
            <w:vAlign w:val="bottom"/>
            <w:tcBorders>
              <w:top w:val="single" w:sz="8" w:color="929292"/>
              <w:bottom w:val="single" w:sz="8" w:color="929292"/>
            </w:tcBorders>
          </w:tcPr>
          <w:p>
            <w:pPr>
              <w:spacing w:after="0"/>
              <w:rPr>
                <w:sz w:val="13"/>
                <w:szCs w:val="13"/>
                <w:color w:val="auto"/>
              </w:rPr>
            </w:pPr>
          </w:p>
        </w:tc>
        <w:tc>
          <w:tcPr>
            <w:tcW w:w="1120" w:type="dxa"/>
            <w:vAlign w:val="bottom"/>
            <w:tcBorders>
              <w:top w:val="single" w:sz="8" w:color="929292"/>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215,899</w:t>
            </w:r>
          </w:p>
        </w:tc>
        <w:tc>
          <w:tcPr>
            <w:tcW w:w="80" w:type="dxa"/>
            <w:vAlign w:val="bottom"/>
          </w:tcPr>
          <w:p>
            <w:pPr>
              <w:spacing w:after="0"/>
              <w:rPr>
                <w:sz w:val="13"/>
                <w:szCs w:val="13"/>
                <w:color w:val="auto"/>
              </w:rPr>
            </w:pPr>
          </w:p>
        </w:tc>
        <w:tc>
          <w:tcPr>
            <w:tcW w:w="360" w:type="dxa"/>
            <w:vAlign w:val="bottom"/>
            <w:tcBorders>
              <w:top w:val="single" w:sz="8" w:color="929292"/>
              <w:bottom w:val="single" w:sz="8" w:color="929292"/>
            </w:tcBorders>
          </w:tcPr>
          <w:p>
            <w:pPr>
              <w:spacing w:after="0"/>
              <w:rPr>
                <w:sz w:val="13"/>
                <w:szCs w:val="13"/>
                <w:color w:val="auto"/>
              </w:rPr>
            </w:pPr>
          </w:p>
        </w:tc>
        <w:tc>
          <w:tcPr>
            <w:tcW w:w="1140" w:type="dxa"/>
            <w:vAlign w:val="bottom"/>
            <w:tcBorders>
              <w:top w:val="single" w:sz="8" w:color="929292"/>
              <w:bottom w:val="single" w:sz="8" w:color="929292"/>
            </w:tcBorders>
          </w:tcPr>
          <w:p>
            <w:pPr>
              <w:jc w:val="right"/>
              <w:ind w:right="123"/>
              <w:spacing w:after="0"/>
              <w:rPr>
                <w:sz w:val="20"/>
                <w:szCs w:val="20"/>
                <w:color w:val="auto"/>
              </w:rPr>
            </w:pPr>
            <w:r>
              <w:rPr>
                <w:rFonts w:ascii="Arial" w:cs="Arial" w:eastAsia="Arial" w:hAnsi="Arial"/>
                <w:sz w:val="11"/>
                <w:szCs w:val="11"/>
                <w:b w:val="1"/>
                <w:bCs w:val="1"/>
                <w:color w:val="auto"/>
              </w:rPr>
              <w:t>555,596</w:t>
            </w:r>
          </w:p>
        </w:tc>
        <w:tc>
          <w:tcPr>
            <w:tcW w:w="820" w:type="dxa"/>
            <w:vAlign w:val="bottom"/>
            <w:tcBorders>
              <w:top w:val="single" w:sz="8" w:color="929292"/>
              <w:bottom w:val="single" w:sz="8" w:color="929292"/>
            </w:tcBorders>
          </w:tcPr>
          <w:p>
            <w:pPr>
              <w:jc w:val="right"/>
              <w:ind w:right="603"/>
              <w:spacing w:after="0"/>
              <w:rPr>
                <w:sz w:val="20"/>
                <w:szCs w:val="20"/>
                <w:color w:val="auto"/>
              </w:rPr>
            </w:pPr>
            <w:r>
              <w:rPr>
                <w:rFonts w:ascii="Arial" w:cs="Arial" w:eastAsia="Arial" w:hAnsi="Arial"/>
                <w:sz w:val="11"/>
                <w:szCs w:val="11"/>
                <w:b w:val="1"/>
                <w:bCs w:val="1"/>
                <w:color w:val="auto"/>
              </w:rPr>
              <w:t>—</w:t>
            </w:r>
          </w:p>
        </w:tc>
        <w:tc>
          <w:tcPr>
            <w:tcW w:w="880" w:type="dxa"/>
            <w:vAlign w:val="bottom"/>
            <w:tcBorders>
              <w:top w:val="single" w:sz="8" w:color="929292"/>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418,668</w:t>
            </w:r>
          </w:p>
        </w:tc>
        <w:tc>
          <w:tcPr>
            <w:tcW w:w="0" w:type="dxa"/>
            <w:vAlign w:val="bottom"/>
          </w:tcPr>
          <w:p>
            <w:pPr>
              <w:spacing w:after="0"/>
              <w:rPr>
                <w:sz w:val="1"/>
                <w:szCs w:val="1"/>
                <w:color w:val="auto"/>
              </w:rPr>
            </w:pPr>
          </w:p>
        </w:tc>
      </w:tr>
      <w:tr>
        <w:trPr>
          <w:trHeight w:val="144"/>
        </w:trPr>
        <w:tc>
          <w:tcPr>
            <w:tcW w:w="4900" w:type="dxa"/>
            <w:vAlign w:val="bottom"/>
          </w:tcPr>
          <w:p>
            <w:pPr>
              <w:ind w:left="20"/>
              <w:spacing w:after="0"/>
              <w:rPr>
                <w:sz w:val="20"/>
                <w:szCs w:val="20"/>
                <w:color w:val="auto"/>
              </w:rPr>
            </w:pPr>
            <w:r>
              <w:rPr>
                <w:rFonts w:ascii="Arial" w:cs="Arial" w:eastAsia="Arial" w:hAnsi="Arial"/>
                <w:sz w:val="11"/>
                <w:szCs w:val="11"/>
                <w:color w:val="auto"/>
              </w:rPr>
              <w:t>Income (loss) from operations</w:t>
            </w:r>
          </w:p>
        </w:tc>
        <w:tc>
          <w:tcPr>
            <w:tcW w:w="100" w:type="dxa"/>
            <w:vAlign w:val="bottom"/>
            <w:shd w:val="clear" w:color="auto" w:fill="929292"/>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ind w:right="103"/>
              <w:spacing w:after="0"/>
              <w:rPr>
                <w:sz w:val="20"/>
                <w:szCs w:val="20"/>
                <w:color w:val="auto"/>
              </w:rPr>
            </w:pPr>
            <w:r>
              <w:rPr>
                <w:rFonts w:ascii="Arial" w:cs="Arial" w:eastAsia="Arial" w:hAnsi="Arial"/>
                <w:sz w:val="11"/>
                <w:szCs w:val="11"/>
                <w:color w:val="auto"/>
              </w:rPr>
              <w:t>(101,041)</w:t>
            </w:r>
          </w:p>
        </w:tc>
        <w:tc>
          <w:tcPr>
            <w:tcW w:w="380" w:type="dxa"/>
            <w:vAlign w:val="bottom"/>
          </w:tcPr>
          <w:p>
            <w:pPr>
              <w:spacing w:after="0"/>
              <w:rPr>
                <w:sz w:val="12"/>
                <w:szCs w:val="12"/>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(18,997)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(126,349)</w:t>
            </w:r>
          </w:p>
        </w:tc>
        <w:tc>
          <w:tcPr>
            <w:tcW w:w="820" w:type="dxa"/>
            <w:vAlign w:val="bottom"/>
          </w:tcPr>
          <w:p>
            <w:pPr>
              <w:jc w:val="right"/>
              <w:ind w:right="60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(17,587)</w:t>
            </w:r>
          </w:p>
        </w:tc>
        <w:tc>
          <w:tcPr>
            <w:tcW w:w="0" w:type="dxa"/>
            <w:vAlign w:val="bottom"/>
          </w:tcPr>
          <w:p>
            <w:pPr>
              <w:spacing w:after="0"/>
              <w:rPr>
                <w:sz w:val="1"/>
                <w:szCs w:val="1"/>
                <w:color w:val="auto"/>
              </w:rPr>
            </w:pPr>
          </w:p>
        </w:tc>
      </w:tr>
      <w:tr>
        <w:trPr>
          <w:trHeight w:val="159"/>
        </w:trPr>
        <w:tc>
          <w:tcPr>
            <w:tcW w:w="4900" w:type="dxa"/>
            <w:vAlign w:val="bottom"/>
          </w:tcPr>
          <w:p>
            <w:pPr>
              <w:ind w:left="20"/>
              <w:spacing w:after="0"/>
              <w:rPr>
                <w:sz w:val="20"/>
                <w:szCs w:val="20"/>
                <w:color w:val="auto"/>
              </w:rPr>
            </w:pPr>
            <w:r>
              <w:rPr>
                <w:rFonts w:ascii="Arial" w:cs="Arial" w:eastAsia="Arial" w:hAnsi="Arial"/>
                <w:sz w:val="11"/>
                <w:szCs w:val="11"/>
                <w:color w:val="auto"/>
              </w:rPr>
              <w:t>Loss on extinguishment of debt</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11,935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11,935</w:t>
            </w:r>
          </w:p>
        </w:tc>
        <w:tc>
          <w:tcPr>
            <w:tcW w:w="0" w:type="dxa"/>
            <w:vAlign w:val="bottom"/>
          </w:tcPr>
          <w:p>
            <w:pPr>
              <w:spacing w:after="0"/>
              <w:rPr>
                <w:sz w:val="1"/>
                <w:szCs w:val="1"/>
                <w:color w:val="auto"/>
              </w:rPr>
            </w:pPr>
          </w:p>
        </w:tc>
      </w:tr>
      <w:tr>
        <w:trPr>
          <w:trHeight w:val="159"/>
        </w:trPr>
        <w:tc>
          <w:tcPr>
            <w:tcW w:w="490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12,724</w:t>
            </w:r>
          </w:p>
        </w:tc>
        <w:tc>
          <w:tcPr>
            <w:tcW w:w="380" w:type="dxa"/>
            <w:vAlign w:val="bottom"/>
          </w:tcPr>
          <w:p>
            <w:pPr>
              <w:spacing w:after="0"/>
              <w:rPr>
                <w:sz w:val="13"/>
                <w:szCs w:val="13"/>
                <w:color w:val="auto"/>
              </w:rPr>
            </w:pP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8,277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23"/>
              <w:spacing w:after="0"/>
              <w:rPr>
                <w:sz w:val="20"/>
                <w:szCs w:val="20"/>
                <w:color w:val="auto"/>
              </w:rPr>
            </w:pPr>
            <w:r>
              <w:rPr>
                <w:rFonts w:ascii="Arial" w:cs="Arial" w:eastAsia="Arial" w:hAnsi="Arial"/>
                <w:sz w:val="11"/>
                <w:szCs w:val="11"/>
                <w:color w:val="auto"/>
              </w:rPr>
              <w:t>24,122</w:t>
            </w:r>
          </w:p>
        </w:tc>
        <w:tc>
          <w:tcPr>
            <w:tcW w:w="820" w:type="dxa"/>
            <w:vAlign w:val="bottom"/>
          </w:tcPr>
          <w:p>
            <w:pPr>
              <w:spacing w:after="0"/>
              <w:rPr>
                <w:sz w:val="13"/>
                <w:szCs w:val="13"/>
                <w:color w:val="auto"/>
              </w:rPr>
            </w:pP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16,965</w:t>
            </w:r>
          </w:p>
        </w:tc>
        <w:tc>
          <w:tcPr>
            <w:tcW w:w="0" w:type="dxa"/>
            <w:vAlign w:val="bottom"/>
          </w:tcPr>
          <w:p>
            <w:pPr>
              <w:spacing w:after="0"/>
              <w:rPr>
                <w:sz w:val="1"/>
                <w:szCs w:val="1"/>
                <w:color w:val="auto"/>
              </w:rPr>
            </w:pPr>
          </w:p>
        </w:tc>
      </w:tr>
      <w:tr>
        <w:trPr>
          <w:trHeight w:val="159"/>
        </w:trPr>
        <w:tc>
          <w:tcPr>
            <w:tcW w:w="4900" w:type="dxa"/>
            <w:vAlign w:val="bottom"/>
          </w:tcPr>
          <w:p>
            <w:pPr>
              <w:ind w:left="20"/>
              <w:spacing w:after="0"/>
              <w:rPr>
                <w:sz w:val="20"/>
                <w:szCs w:val="20"/>
                <w:color w:val="auto"/>
              </w:rPr>
            </w:pPr>
            <w:r>
              <w:rPr>
                <w:rFonts w:ascii="Arial" w:cs="Arial" w:eastAsia="Arial" w:hAnsi="Arial"/>
                <w:sz w:val="11"/>
                <w:szCs w:val="11"/>
                <w:color w:val="auto"/>
              </w:rPr>
              <w:t>Other (income) expense, net</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(13)</w:t>
            </w:r>
          </w:p>
        </w:tc>
        <w:tc>
          <w:tcPr>
            <w:tcW w:w="380" w:type="dxa"/>
            <w:vAlign w:val="bottom"/>
            <w:tcBorders>
              <w:bottom w:val="single" w:sz="8" w:color="929292"/>
            </w:tcBorders>
          </w:tcPr>
          <w:p>
            <w:pPr>
              <w:spacing w:after="0"/>
              <w:rPr>
                <w:sz w:val="13"/>
                <w:szCs w:val="13"/>
                <w:color w:val="auto"/>
              </w:rPr>
            </w:pPr>
          </w:p>
        </w:tc>
        <w:tc>
          <w:tcPr>
            <w:tcW w:w="112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44</w:t>
            </w:r>
          </w:p>
        </w:tc>
        <w:tc>
          <w:tcPr>
            <w:tcW w:w="80" w:type="dxa"/>
            <w:vAlign w:val="bottom"/>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14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color w:val="auto"/>
              </w:rPr>
              <w:t>50</w:t>
            </w:r>
          </w:p>
        </w:tc>
        <w:tc>
          <w:tcPr>
            <w:tcW w:w="820" w:type="dxa"/>
            <w:vAlign w:val="bottom"/>
            <w:tcBorders>
              <w:bottom w:val="single" w:sz="8" w:color="929292"/>
            </w:tcBorders>
          </w:tcPr>
          <w:p>
            <w:pPr>
              <w:spacing w:after="0"/>
              <w:rPr>
                <w:sz w:val="13"/>
                <w:szCs w:val="13"/>
                <w:color w:val="auto"/>
              </w:rPr>
            </w:pPr>
          </w:p>
        </w:tc>
        <w:tc>
          <w:tcPr>
            <w:tcW w:w="88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56"/>
        </w:trPr>
        <w:tc>
          <w:tcPr>
            <w:tcW w:w="490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b w:val="1"/>
                <w:bCs w:val="1"/>
                <w:color w:val="auto"/>
              </w:rPr>
              <w:t>(113,752)</w:t>
            </w:r>
          </w:p>
        </w:tc>
        <w:tc>
          <w:tcPr>
            <w:tcW w:w="380" w:type="dxa"/>
            <w:vAlign w:val="bottom"/>
            <w:tcBorders>
              <w:bottom w:val="single" w:sz="8" w:color="929292"/>
            </w:tcBorders>
          </w:tcPr>
          <w:p>
            <w:pPr>
              <w:spacing w:after="0"/>
              <w:rPr>
                <w:sz w:val="13"/>
                <w:szCs w:val="13"/>
                <w:color w:val="auto"/>
              </w:rPr>
            </w:pPr>
          </w:p>
        </w:tc>
        <w:tc>
          <w:tcPr>
            <w:tcW w:w="112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(39,253)</w:t>
            </w:r>
          </w:p>
        </w:tc>
        <w:tc>
          <w:tcPr>
            <w:tcW w:w="80" w:type="dxa"/>
            <w:vAlign w:val="bottom"/>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14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(150,521)</w:t>
            </w:r>
          </w:p>
        </w:tc>
        <w:tc>
          <w:tcPr>
            <w:tcW w:w="820" w:type="dxa"/>
            <w:vAlign w:val="bottom"/>
            <w:tcBorders>
              <w:bottom w:val="single" w:sz="8" w:color="929292"/>
            </w:tcBorders>
          </w:tcPr>
          <w:p>
            <w:pPr>
              <w:spacing w:after="0"/>
              <w:rPr>
                <w:sz w:val="13"/>
                <w:szCs w:val="13"/>
                <w:color w:val="auto"/>
              </w:rPr>
            </w:pPr>
          </w:p>
        </w:tc>
        <w:tc>
          <w:tcPr>
            <w:tcW w:w="88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(46,544)</w:t>
            </w:r>
          </w:p>
        </w:tc>
        <w:tc>
          <w:tcPr>
            <w:tcW w:w="0" w:type="dxa"/>
            <w:vAlign w:val="bottom"/>
          </w:tcPr>
          <w:p>
            <w:pPr>
              <w:spacing w:after="0"/>
              <w:rPr>
                <w:sz w:val="1"/>
                <w:szCs w:val="1"/>
                <w:color w:val="auto"/>
              </w:rPr>
            </w:pPr>
          </w:p>
        </w:tc>
      </w:tr>
      <w:tr>
        <w:trPr>
          <w:trHeight w:val="144"/>
        </w:trPr>
        <w:tc>
          <w:tcPr>
            <w:tcW w:w="4900" w:type="dxa"/>
            <w:vAlign w:val="bottom"/>
          </w:tcPr>
          <w:p>
            <w:pPr>
              <w:ind w:left="20"/>
              <w:spacing w:after="0"/>
              <w:rPr>
                <w:sz w:val="20"/>
                <w:szCs w:val="20"/>
                <w:color w:val="auto"/>
              </w:rPr>
            </w:pPr>
            <w:r>
              <w:rPr>
                <w:rFonts w:ascii="Arial" w:cs="Arial" w:eastAsia="Arial" w:hAnsi="Arial"/>
                <w:sz w:val="11"/>
                <w:szCs w:val="11"/>
                <w:color w:val="auto"/>
              </w:rPr>
              <w:t>Income tax expense (benefit)</w:t>
            </w:r>
          </w:p>
        </w:tc>
        <w:tc>
          <w:tcPr>
            <w:tcW w:w="100" w:type="dxa"/>
            <w:vAlign w:val="bottom"/>
            <w:tcBorders>
              <w:bottom w:val="single" w:sz="8" w:color="929292"/>
            </w:tcBorders>
            <w:shd w:val="clear" w:color="auto" w:fill="929292"/>
          </w:tcPr>
          <w:p>
            <w:pPr>
              <w:spacing w:after="0"/>
              <w:rPr>
                <w:sz w:val="12"/>
                <w:szCs w:val="12"/>
                <w:color w:val="auto"/>
              </w:rPr>
            </w:pPr>
          </w:p>
        </w:tc>
        <w:tc>
          <w:tcPr>
            <w:tcW w:w="340" w:type="dxa"/>
            <w:vAlign w:val="bottom"/>
            <w:tcBorders>
              <w:bottom w:val="single" w:sz="8" w:color="929292"/>
            </w:tcBorders>
          </w:tcPr>
          <w:p>
            <w:pPr>
              <w:spacing w:after="0"/>
              <w:rPr>
                <w:sz w:val="12"/>
                <w:szCs w:val="12"/>
                <w:color w:val="auto"/>
              </w:rPr>
            </w:pPr>
          </w:p>
        </w:tc>
        <w:tc>
          <w:tcPr>
            <w:tcW w:w="1160" w:type="dxa"/>
            <w:vAlign w:val="bottom"/>
            <w:tcBorders>
              <w:bottom w:val="single" w:sz="8" w:color="929292"/>
            </w:tcBorders>
          </w:tcPr>
          <w:p>
            <w:pPr>
              <w:jc w:val="right"/>
              <w:ind w:right="143"/>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929292"/>
            </w:tcBorders>
          </w:tcPr>
          <w:p>
            <w:pPr>
              <w:spacing w:after="0"/>
              <w:rPr>
                <w:sz w:val="12"/>
                <w:szCs w:val="12"/>
                <w:color w:val="auto"/>
              </w:rPr>
            </w:pPr>
          </w:p>
        </w:tc>
        <w:tc>
          <w:tcPr>
            <w:tcW w:w="112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2"/>
                <w:szCs w:val="12"/>
                <w:color w:val="auto"/>
              </w:rPr>
            </w:pPr>
          </w:p>
        </w:tc>
        <w:tc>
          <w:tcPr>
            <w:tcW w:w="360" w:type="dxa"/>
            <w:vAlign w:val="bottom"/>
            <w:tcBorders>
              <w:bottom w:val="single" w:sz="8" w:color="929292"/>
            </w:tcBorders>
          </w:tcPr>
          <w:p>
            <w:pPr>
              <w:spacing w:after="0"/>
              <w:rPr>
                <w:sz w:val="12"/>
                <w:szCs w:val="12"/>
                <w:color w:val="auto"/>
              </w:rPr>
            </w:pPr>
          </w:p>
        </w:tc>
        <w:tc>
          <w:tcPr>
            <w:tcW w:w="114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color w:val="auto"/>
              </w:rPr>
              <w:t>472</w:t>
            </w:r>
          </w:p>
        </w:tc>
        <w:tc>
          <w:tcPr>
            <w:tcW w:w="820" w:type="dxa"/>
            <w:vAlign w:val="bottom"/>
            <w:tcBorders>
              <w:bottom w:val="single" w:sz="8" w:color="929292"/>
            </w:tcBorders>
          </w:tcPr>
          <w:p>
            <w:pPr>
              <w:spacing w:after="0"/>
              <w:rPr>
                <w:sz w:val="12"/>
                <w:szCs w:val="12"/>
                <w:color w:val="auto"/>
              </w:rPr>
            </w:pPr>
          </w:p>
        </w:tc>
        <w:tc>
          <w:tcPr>
            <w:tcW w:w="88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56"/>
        </w:trPr>
        <w:tc>
          <w:tcPr>
            <w:tcW w:w="4900" w:type="dxa"/>
            <w:vAlign w:val="bottom"/>
          </w:tcPr>
          <w:p>
            <w:pPr>
              <w:ind w:left="20"/>
              <w:spacing w:after="0"/>
              <w:rPr>
                <w:sz w:val="20"/>
                <w:szCs w:val="20"/>
                <w:color w:val="auto"/>
              </w:rPr>
            </w:pPr>
            <w:r>
              <w:rPr>
                <w:rFonts w:ascii="Arial" w:cs="Arial" w:eastAsia="Arial" w:hAnsi="Arial"/>
                <w:sz w:val="11"/>
                <w:szCs w:val="11"/>
                <w:b w:val="1"/>
                <w:bCs w:val="1"/>
                <w:color w:val="auto"/>
              </w:rPr>
              <w:t>Net income (loss)</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b w:val="1"/>
                <w:bCs w:val="1"/>
                <w:color w:val="auto"/>
              </w:rPr>
              <w:t>(113,752)</w:t>
            </w:r>
          </w:p>
        </w:tc>
        <w:tc>
          <w:tcPr>
            <w:tcW w:w="380" w:type="dxa"/>
            <w:vAlign w:val="bottom"/>
            <w:tcBorders>
              <w:bottom w:val="single" w:sz="8" w:color="929292"/>
            </w:tcBorders>
          </w:tcPr>
          <w:p>
            <w:pPr>
              <w:spacing w:after="0"/>
              <w:rPr>
                <w:sz w:val="13"/>
                <w:szCs w:val="13"/>
                <w:color w:val="auto"/>
              </w:rPr>
            </w:pPr>
          </w:p>
        </w:tc>
        <w:tc>
          <w:tcPr>
            <w:tcW w:w="112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(39,221)</w:t>
            </w:r>
          </w:p>
        </w:tc>
        <w:tc>
          <w:tcPr>
            <w:tcW w:w="80" w:type="dxa"/>
            <w:vAlign w:val="bottom"/>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14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(150,993)</w:t>
            </w:r>
          </w:p>
        </w:tc>
        <w:tc>
          <w:tcPr>
            <w:tcW w:w="820" w:type="dxa"/>
            <w:vAlign w:val="bottom"/>
            <w:tcBorders>
              <w:bottom w:val="single" w:sz="8" w:color="929292"/>
            </w:tcBorders>
          </w:tcPr>
          <w:p>
            <w:pPr>
              <w:spacing w:after="0"/>
              <w:rPr>
                <w:sz w:val="13"/>
                <w:szCs w:val="13"/>
                <w:color w:val="auto"/>
              </w:rPr>
            </w:pPr>
          </w:p>
        </w:tc>
        <w:tc>
          <w:tcPr>
            <w:tcW w:w="88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(46,481)</w:t>
            </w:r>
          </w:p>
        </w:tc>
        <w:tc>
          <w:tcPr>
            <w:tcW w:w="0" w:type="dxa"/>
            <w:vAlign w:val="bottom"/>
          </w:tcPr>
          <w:p>
            <w:pPr>
              <w:spacing w:after="0"/>
              <w:rPr>
                <w:sz w:val="1"/>
                <w:szCs w:val="1"/>
                <w:color w:val="auto"/>
              </w:rPr>
            </w:pPr>
          </w:p>
        </w:tc>
      </w:tr>
      <w:tr>
        <w:trPr>
          <w:trHeight w:val="147"/>
        </w:trPr>
        <w:tc>
          <w:tcPr>
            <w:tcW w:w="4900" w:type="dxa"/>
            <w:vAlign w:val="bottom"/>
          </w:tcPr>
          <w:p>
            <w:pPr>
              <w:ind w:left="20"/>
              <w:spacing w:after="0"/>
              <w:rPr>
                <w:sz w:val="20"/>
                <w:szCs w:val="20"/>
                <w:color w:val="auto"/>
              </w:rPr>
            </w:pPr>
            <w:r>
              <w:rPr>
                <w:rFonts w:ascii="Arial" w:cs="Arial" w:eastAsia="Arial" w:hAnsi="Arial"/>
                <w:sz w:val="11"/>
                <w:szCs w:val="11"/>
                <w:color w:val="auto"/>
              </w:rPr>
              <w:t>Net income (loss) attributable to non-controlling interests</w:t>
            </w:r>
          </w:p>
        </w:tc>
        <w:tc>
          <w:tcPr>
            <w:tcW w:w="100" w:type="dxa"/>
            <w:vAlign w:val="bottom"/>
            <w:tcBorders>
              <w:bottom w:val="single" w:sz="8" w:color="929292"/>
            </w:tcBorders>
            <w:shd w:val="clear" w:color="auto" w:fill="929292"/>
          </w:tcPr>
          <w:p>
            <w:pPr>
              <w:spacing w:after="0"/>
              <w:rPr>
                <w:sz w:val="12"/>
                <w:szCs w:val="12"/>
                <w:color w:val="auto"/>
              </w:rPr>
            </w:pPr>
          </w:p>
        </w:tc>
        <w:tc>
          <w:tcPr>
            <w:tcW w:w="340" w:type="dxa"/>
            <w:vAlign w:val="bottom"/>
            <w:tcBorders>
              <w:bottom w:val="single" w:sz="8" w:color="929292"/>
            </w:tcBorders>
          </w:tcPr>
          <w:p>
            <w:pPr>
              <w:spacing w:after="0"/>
              <w:rPr>
                <w:sz w:val="12"/>
                <w:szCs w:val="12"/>
                <w:color w:val="auto"/>
              </w:rPr>
            </w:pPr>
          </w:p>
        </w:tc>
        <w:tc>
          <w:tcPr>
            <w:tcW w:w="116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(69,933)</w:t>
            </w:r>
          </w:p>
        </w:tc>
        <w:tc>
          <w:tcPr>
            <w:tcW w:w="380" w:type="dxa"/>
            <w:vAlign w:val="bottom"/>
            <w:tcBorders>
              <w:bottom w:val="single" w:sz="8" w:color="929292"/>
            </w:tcBorders>
          </w:tcPr>
          <w:p>
            <w:pPr>
              <w:spacing w:after="0"/>
              <w:rPr>
                <w:sz w:val="12"/>
                <w:szCs w:val="12"/>
                <w:color w:val="auto"/>
              </w:rPr>
            </w:pPr>
          </w:p>
        </w:tc>
        <w:tc>
          <w:tcPr>
            <w:tcW w:w="112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(27,217)</w:t>
            </w:r>
          </w:p>
        </w:tc>
        <w:tc>
          <w:tcPr>
            <w:tcW w:w="80" w:type="dxa"/>
            <w:vAlign w:val="bottom"/>
          </w:tcPr>
          <w:p>
            <w:pPr>
              <w:spacing w:after="0"/>
              <w:rPr>
                <w:sz w:val="12"/>
                <w:szCs w:val="12"/>
                <w:color w:val="auto"/>
              </w:rPr>
            </w:pPr>
          </w:p>
        </w:tc>
        <w:tc>
          <w:tcPr>
            <w:tcW w:w="360" w:type="dxa"/>
            <w:vAlign w:val="bottom"/>
            <w:tcBorders>
              <w:bottom w:val="single" w:sz="8" w:color="929292"/>
            </w:tcBorders>
          </w:tcPr>
          <w:p>
            <w:pPr>
              <w:spacing w:after="0"/>
              <w:rPr>
                <w:sz w:val="12"/>
                <w:szCs w:val="12"/>
                <w:color w:val="auto"/>
              </w:rPr>
            </w:pPr>
          </w:p>
        </w:tc>
        <w:tc>
          <w:tcPr>
            <w:tcW w:w="114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(93,691)</w:t>
            </w:r>
          </w:p>
        </w:tc>
        <w:tc>
          <w:tcPr>
            <w:tcW w:w="820" w:type="dxa"/>
            <w:vAlign w:val="bottom"/>
            <w:tcBorders>
              <w:bottom w:val="single" w:sz="8" w:color="929292"/>
            </w:tcBorders>
          </w:tcPr>
          <w:p>
            <w:pPr>
              <w:spacing w:after="0"/>
              <w:rPr>
                <w:sz w:val="12"/>
                <w:szCs w:val="12"/>
                <w:color w:val="auto"/>
              </w:rPr>
            </w:pPr>
          </w:p>
        </w:tc>
        <w:tc>
          <w:tcPr>
            <w:tcW w:w="88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(32,390)</w:t>
            </w: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rPr>
                <w:sz w:val="20"/>
                <w:szCs w:val="20"/>
                <w:color w:val="auto"/>
              </w:rPr>
            </w:pPr>
            <w:r>
              <w:rPr>
                <w:rFonts w:ascii="Arial" w:cs="Arial" w:eastAsia="Arial" w:hAnsi="Arial"/>
                <w:sz w:val="11"/>
                <w:szCs w:val="11"/>
                <w:b w:val="1"/>
                <w:bCs w:val="1"/>
                <w:color w:val="auto"/>
              </w:rPr>
              <w:t>Net income (loss) attributable to GoHealth, Inc.</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b w:val="1"/>
                <w:bCs w:val="1"/>
                <w:color w:val="auto"/>
              </w:rPr>
              <w:t>(43,819)</w:t>
            </w:r>
          </w:p>
        </w:tc>
        <w:tc>
          <w:tcPr>
            <w:tcW w:w="380" w:type="dxa"/>
            <w:vAlign w:val="bottom"/>
            <w:tcBorders>
              <w:bottom w:val="single" w:sz="8" w:color="929292"/>
            </w:tcBorders>
          </w:tcPr>
          <w:p>
            <w:pPr>
              <w:jc w:val="right"/>
              <w:ind w:right="203"/>
              <w:spacing w:after="0"/>
              <w:rPr>
                <w:sz w:val="20"/>
                <w:szCs w:val="20"/>
                <w:color w:val="auto"/>
              </w:rPr>
            </w:pPr>
            <w:r>
              <w:rPr>
                <w:rFonts w:ascii="Arial" w:cs="Arial" w:eastAsia="Arial" w:hAnsi="Arial"/>
                <w:sz w:val="11"/>
                <w:szCs w:val="11"/>
                <w:b w:val="1"/>
                <w:bCs w:val="1"/>
                <w:color w:val="auto"/>
              </w:rPr>
              <w:t>$</w:t>
            </w:r>
          </w:p>
        </w:tc>
        <w:tc>
          <w:tcPr>
            <w:tcW w:w="112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(12,004)</w:t>
            </w:r>
          </w:p>
        </w:tc>
        <w:tc>
          <w:tcPr>
            <w:tcW w:w="80" w:type="dxa"/>
            <w:vAlign w:val="bottom"/>
          </w:tcPr>
          <w:p>
            <w:pPr>
              <w:spacing w:after="0"/>
              <w:rPr>
                <w:sz w:val="13"/>
                <w:szCs w:val="13"/>
                <w:color w:val="auto"/>
              </w:rPr>
            </w:pPr>
          </w:p>
        </w:tc>
        <w:tc>
          <w:tcPr>
            <w:tcW w:w="360" w:type="dxa"/>
            <w:vAlign w:val="bottom"/>
            <w:tcBorders>
              <w:bottom w:val="single" w:sz="8" w:color="929292"/>
            </w:tcBorders>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(57,302)</w:t>
            </w:r>
          </w:p>
        </w:tc>
        <w:tc>
          <w:tcPr>
            <w:tcW w:w="82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b w:val="1"/>
                <w:bCs w:val="1"/>
                <w:color w:val="auto"/>
              </w:rPr>
              <w:t>$</w:t>
            </w:r>
          </w:p>
        </w:tc>
        <w:tc>
          <w:tcPr>
            <w:tcW w:w="88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(14,091)</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Non-GAAP financial measures:</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340" w:type="dxa"/>
            <w:vAlign w:val="bottom"/>
            <w:tcBorders>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380" w:type="dxa"/>
            <w:vAlign w:val="bottom"/>
            <w:tcBorders>
              <w:bottom w:val="single" w:sz="8" w:color="929292"/>
            </w:tcBorders>
          </w:tcPr>
          <w:p>
            <w:pPr>
              <w:spacing w:after="0" w:line="20" w:lineRule="exact"/>
              <w:rPr>
                <w:sz w:val="1"/>
                <w:szCs w:val="1"/>
                <w:color w:val="auto"/>
              </w:rPr>
            </w:pPr>
          </w:p>
        </w:tc>
        <w:tc>
          <w:tcPr>
            <w:tcW w:w="112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820" w:type="dxa"/>
            <w:vAlign w:val="bottom"/>
            <w:tcBorders>
              <w:bottom w:val="single" w:sz="8" w:color="929292"/>
            </w:tcBorders>
          </w:tcPr>
          <w:p>
            <w:pPr>
              <w:spacing w:after="0" w:line="20" w:lineRule="exact"/>
              <w:rPr>
                <w:sz w:val="1"/>
                <w:szCs w:val="1"/>
                <w:color w:val="auto"/>
              </w:rPr>
            </w:pPr>
          </w:p>
        </w:tc>
        <w:tc>
          <w:tcPr>
            <w:tcW w:w="88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900" w:type="dxa"/>
            <w:vAlign w:val="bottom"/>
            <w:vMerge w:val="continue"/>
          </w:tcPr>
          <w:p>
            <w:pPr>
              <w:spacing w:after="0"/>
              <w:rPr>
                <w:sz w:val="9"/>
                <w:szCs w:val="9"/>
                <w:color w:val="auto"/>
              </w:rPr>
            </w:pPr>
          </w:p>
        </w:tc>
        <w:tc>
          <w:tcPr>
            <w:tcW w:w="100" w:type="dxa"/>
            <w:vAlign w:val="bottom"/>
            <w:shd w:val="clear" w:color="auto" w:fill="929292"/>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900" w:type="dxa"/>
            <w:vAlign w:val="bottom"/>
          </w:tcPr>
          <w:p>
            <w:pPr>
              <w:ind w:left="20"/>
              <w:spacing w:after="0"/>
              <w:rPr>
                <w:sz w:val="20"/>
                <w:szCs w:val="20"/>
                <w:color w:val="auto"/>
              </w:rPr>
            </w:pPr>
            <w:r>
              <w:rPr>
                <w:rFonts w:ascii="Arial" w:cs="Arial" w:eastAsia="Arial" w:hAnsi="Arial"/>
                <w:sz w:val="11"/>
                <w:szCs w:val="11"/>
                <w:color w:val="auto"/>
              </w:rPr>
              <w:t>EBITDA</w:t>
            </w:r>
          </w:p>
        </w:tc>
        <w:tc>
          <w:tcPr>
            <w:tcW w:w="100" w:type="dxa"/>
            <w:vAlign w:val="bottom"/>
            <w:shd w:val="clear" w:color="auto" w:fill="929292"/>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103"/>
              <w:spacing w:after="0"/>
              <w:rPr>
                <w:sz w:val="20"/>
                <w:szCs w:val="20"/>
                <w:color w:val="auto"/>
              </w:rPr>
            </w:pPr>
            <w:r>
              <w:rPr>
                <w:rFonts w:ascii="Arial" w:cs="Arial" w:eastAsia="Arial" w:hAnsi="Arial"/>
                <w:sz w:val="11"/>
                <w:szCs w:val="11"/>
                <w:color w:val="auto"/>
              </w:rPr>
              <w:t>(74,617)</w:t>
            </w:r>
          </w:p>
        </w:tc>
        <w:tc>
          <w:tcPr>
            <w:tcW w:w="3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(5,238)</w:t>
            </w:r>
          </w:p>
        </w:tc>
        <w:tc>
          <w:tcPr>
            <w:tcW w:w="8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(74,040)</w:t>
            </w:r>
          </w:p>
        </w:tc>
        <w:tc>
          <w:tcPr>
            <w:tcW w:w="820" w:type="dxa"/>
            <w:vAlign w:val="bottom"/>
          </w:tcPr>
          <w:p>
            <w:pPr>
              <w:jc w:val="right"/>
              <w:ind w:right="44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21,526</w:t>
            </w:r>
          </w:p>
        </w:tc>
        <w:tc>
          <w:tcPr>
            <w:tcW w:w="0" w:type="dxa"/>
            <w:vAlign w:val="bottom"/>
          </w:tcPr>
          <w:p>
            <w:pPr>
              <w:spacing w:after="0"/>
              <w:rPr>
                <w:sz w:val="1"/>
                <w:szCs w:val="1"/>
                <w:color w:val="auto"/>
              </w:rPr>
            </w:pPr>
          </w:p>
        </w:tc>
      </w:tr>
      <w:tr>
        <w:trPr>
          <w:trHeight w:val="159"/>
        </w:trPr>
        <w:tc>
          <w:tcPr>
            <w:tcW w:w="4900" w:type="dxa"/>
            <w:vAlign w:val="bottom"/>
          </w:tcPr>
          <w:p>
            <w:pPr>
              <w:ind w:left="20"/>
              <w:spacing w:after="0"/>
              <w:rPr>
                <w:sz w:val="20"/>
                <w:szCs w:val="20"/>
                <w:color w:val="auto"/>
              </w:rPr>
            </w:pPr>
            <w:r>
              <w:rPr>
                <w:rFonts w:ascii="Arial" w:cs="Arial" w:eastAsia="Arial" w:hAnsi="Arial"/>
                <w:sz w:val="11"/>
                <w:szCs w:val="11"/>
                <w:color w:val="auto"/>
              </w:rPr>
              <w:t>Adjusted EBITDA</w:t>
            </w:r>
          </w:p>
        </w:tc>
        <w:tc>
          <w:tcPr>
            <w:tcW w:w="100" w:type="dxa"/>
            <w:vAlign w:val="bottom"/>
            <w:shd w:val="clear" w:color="auto" w:fill="929292"/>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103"/>
              <w:spacing w:after="0"/>
              <w:rPr>
                <w:sz w:val="20"/>
                <w:szCs w:val="20"/>
                <w:color w:val="auto"/>
              </w:rPr>
            </w:pPr>
            <w:r>
              <w:rPr>
                <w:rFonts w:ascii="Arial" w:cs="Arial" w:eastAsia="Arial" w:hAnsi="Arial"/>
                <w:sz w:val="11"/>
                <w:szCs w:val="11"/>
                <w:color w:val="auto"/>
              </w:rPr>
              <w:t>(31,741)</w:t>
            </w:r>
          </w:p>
        </w:tc>
        <w:tc>
          <w:tcPr>
            <w:tcW w:w="3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83"/>
              <w:spacing w:after="0"/>
              <w:rPr>
                <w:sz w:val="20"/>
                <w:szCs w:val="20"/>
                <w:color w:val="auto"/>
              </w:rPr>
            </w:pPr>
            <w:r>
              <w:rPr>
                <w:rFonts w:ascii="Arial" w:cs="Arial" w:eastAsia="Arial" w:hAnsi="Arial"/>
                <w:sz w:val="11"/>
                <w:szCs w:val="11"/>
                <w:color w:val="auto"/>
              </w:rPr>
              <w:t>14,296</w:t>
            </w:r>
          </w:p>
        </w:tc>
        <w:tc>
          <w:tcPr>
            <w:tcW w:w="8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(20,668)</w:t>
            </w:r>
          </w:p>
        </w:tc>
        <w:tc>
          <w:tcPr>
            <w:tcW w:w="820" w:type="dxa"/>
            <w:vAlign w:val="bottom"/>
          </w:tcPr>
          <w:p>
            <w:pPr>
              <w:jc w:val="right"/>
              <w:ind w:right="44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3"/>
              <w:spacing w:after="0"/>
              <w:rPr>
                <w:sz w:val="20"/>
                <w:szCs w:val="20"/>
                <w:color w:val="auto"/>
              </w:rPr>
            </w:pPr>
            <w:r>
              <w:rPr>
                <w:rFonts w:ascii="Arial" w:cs="Arial" w:eastAsia="Arial" w:hAnsi="Arial"/>
                <w:sz w:val="11"/>
                <w:szCs w:val="11"/>
                <w:color w:val="auto"/>
              </w:rPr>
              <w:t>46,352</w:t>
            </w:r>
          </w:p>
        </w:tc>
        <w:tc>
          <w:tcPr>
            <w:tcW w:w="0" w:type="dxa"/>
            <w:vAlign w:val="bottom"/>
          </w:tcPr>
          <w:p>
            <w:pPr>
              <w:spacing w:after="0"/>
              <w:rPr>
                <w:sz w:val="1"/>
                <w:szCs w:val="1"/>
                <w:color w:val="auto"/>
              </w:rPr>
            </w:pPr>
          </w:p>
        </w:tc>
      </w:tr>
      <w:tr>
        <w:trPr>
          <w:trHeight w:val="166"/>
        </w:trPr>
        <w:tc>
          <w:tcPr>
            <w:tcW w:w="4900" w:type="dxa"/>
            <w:vAlign w:val="bottom"/>
          </w:tcPr>
          <w:p>
            <w:pPr>
              <w:ind w:left="20"/>
              <w:spacing w:after="0"/>
              <w:rPr>
                <w:sz w:val="20"/>
                <w:szCs w:val="20"/>
                <w:color w:val="auto"/>
              </w:rPr>
            </w:pPr>
            <w:r>
              <w:rPr>
                <w:rFonts w:ascii="Arial" w:cs="Arial" w:eastAsia="Arial" w:hAnsi="Arial"/>
                <w:sz w:val="11"/>
                <w:szCs w:val="11"/>
                <w:color w:val="auto"/>
              </w:rPr>
              <w:t>Adjusted EBITDA margin</w:t>
            </w:r>
          </w:p>
        </w:tc>
        <w:tc>
          <w:tcPr>
            <w:tcW w:w="10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(20.0)%</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7.3 %</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(4.8)%</w:t>
            </w:r>
          </w:p>
        </w:tc>
        <w:tc>
          <w:tcPr>
            <w:tcW w:w="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11.6 %</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our components of net revenue and results thereof for the three and six months ended June 30, 2022 and 2021:</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26</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65"/>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0"/>
        </w:trPr>
        <w:tc>
          <w:tcPr>
            <w:tcW w:w="2580" w:type="dxa"/>
            <w:vAlign w:val="bottom"/>
            <w:tcBorders>
              <w:left w:val="single" w:sz="8" w:color="929292"/>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118,038</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147,508</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43"/>
              <w:spacing w:after="0"/>
              <w:rPr>
                <w:sz w:val="20"/>
                <w:szCs w:val="20"/>
                <w:color w:val="auto"/>
              </w:rPr>
            </w:pPr>
            <w:r>
              <w:rPr>
                <w:rFonts w:ascii="Arial" w:cs="Arial" w:eastAsia="Arial" w:hAnsi="Arial"/>
                <w:sz w:val="11"/>
                <w:szCs w:val="11"/>
                <w:color w:val="auto"/>
              </w:rPr>
              <w:t>(29,470)</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(20.0)%</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74.4%</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74.9%</w:t>
            </w:r>
          </w:p>
        </w:tc>
      </w:tr>
      <w:tr>
        <w:trPr>
          <w:trHeight w:val="176"/>
        </w:trPr>
        <w:tc>
          <w:tcPr>
            <w:tcW w:w="2580" w:type="dxa"/>
            <w:vAlign w:val="bottom"/>
            <w:tcBorders>
              <w:left w:val="single" w:sz="8" w:color="929292"/>
            </w:tcBorders>
          </w:tcPr>
          <w:p>
            <w:pPr>
              <w:ind w:left="600"/>
              <w:spacing w:after="0"/>
              <w:rPr>
                <w:sz w:val="20"/>
                <w:szCs w:val="20"/>
                <w:color w:val="auto"/>
              </w:rPr>
            </w:pPr>
            <w:r>
              <w:rPr>
                <w:rFonts w:ascii="Arial" w:cs="Arial" w:eastAsia="Arial" w:hAnsi="Arial"/>
                <w:sz w:val="11"/>
                <w:szCs w:val="11"/>
                <w:b w:val="1"/>
                <w:bCs w:val="1"/>
                <w:color w:val="0A2299"/>
              </w:rPr>
              <w:t>Commission net revenues</w:t>
            </w:r>
          </w:p>
        </w:tc>
        <w:tc>
          <w:tcPr>
            <w:tcW w:w="80" w:type="dxa"/>
            <w:vAlign w:val="bottom"/>
            <w:shd w:val="clear" w:color="auto" w:fill="929292"/>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shd w:val="clear" w:color="auto" w:fill="929292"/>
          </w:tcPr>
          <w:p>
            <w:pPr>
              <w:spacing w:after="0"/>
              <w:rPr>
                <w:sz w:val="15"/>
                <w:szCs w:val="15"/>
                <w:color w:val="auto"/>
              </w:rPr>
            </w:pPr>
          </w:p>
        </w:tc>
        <w:tc>
          <w:tcPr>
            <w:tcW w:w="1260" w:type="dxa"/>
            <w:vAlign w:val="bottom"/>
            <w:shd w:val="clear" w:color="auto" w:fill="929292"/>
          </w:tcPr>
          <w:p>
            <w:pPr>
              <w:spacing w:after="0"/>
              <w:rPr>
                <w:sz w:val="15"/>
                <w:szCs w:val="15"/>
                <w:color w:val="auto"/>
              </w:rPr>
            </w:pPr>
          </w:p>
        </w:tc>
      </w:tr>
      <w:tr>
        <w:trPr>
          <w:trHeight w:val="164"/>
        </w:trPr>
        <w:tc>
          <w:tcPr>
            <w:tcW w:w="258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743"/>
              <w:spacing w:after="0"/>
              <w:rPr>
                <w:sz w:val="20"/>
                <w:szCs w:val="20"/>
                <w:color w:val="auto"/>
              </w:rPr>
            </w:pPr>
            <w:r>
              <w:rPr>
                <w:rFonts w:ascii="Arial" w:cs="Arial" w:eastAsia="Arial" w:hAnsi="Arial"/>
                <w:sz w:val="11"/>
                <w:szCs w:val="11"/>
                <w:color w:val="auto"/>
              </w:rPr>
              <w:t>Six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0"/>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3"/>
        </w:trPr>
        <w:tc>
          <w:tcPr>
            <w:tcW w:w="258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327,677</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321,489</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63"/>
              <w:spacing w:after="0"/>
              <w:rPr>
                <w:sz w:val="20"/>
                <w:szCs w:val="20"/>
                <w:color w:val="auto"/>
              </w:rPr>
            </w:pPr>
            <w:r>
              <w:rPr>
                <w:rFonts w:ascii="Arial" w:cs="Arial" w:eastAsia="Arial" w:hAnsi="Arial"/>
                <w:sz w:val="11"/>
                <w:szCs w:val="11"/>
                <w:color w:val="auto"/>
              </w:rPr>
              <w:t>6,188</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1.9 %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76.3%</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80.2%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97025" cy="698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-544830</wp:posOffset>
            </wp:positionV>
            <wp:extent cx="159702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14"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The decrease for the three months ended June 30, 2022 compared to the prior year period was primarily attributable to a 13% decline in Medicare Advantage LTV per Approved Submission, which was ultimately driven by lower plan persistency and continued LTV pressure. The decline in Medicare Advantage LTV per Approved Submission was offset by a 115% increase in Medicare Advantage commissionable Approved Submissions in the Medicare—External Segment. The increase for the six months ended June 30, 2022 compared to the prior year period was primarily attributable to a 35% increase in Medicare Advantage commissionable Approved Submissions, offset by a 12% decline in Medicare Advantage LTV per Approved Submission. This decline was mostly driven by lower plan persistency period-over-period.</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65"/>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0"/>
        </w:trPr>
        <w:tc>
          <w:tcPr>
            <w:tcW w:w="2580" w:type="dxa"/>
            <w:vAlign w:val="bottom"/>
            <w:tcBorders>
              <w:left w:val="single" w:sz="8" w:color="929292"/>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40,616</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49,394</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23"/>
              <w:spacing w:after="0"/>
              <w:rPr>
                <w:sz w:val="20"/>
                <w:szCs w:val="20"/>
                <w:color w:val="auto"/>
              </w:rPr>
            </w:pPr>
            <w:r>
              <w:rPr>
                <w:rFonts w:ascii="Arial" w:cs="Arial" w:eastAsia="Arial" w:hAnsi="Arial"/>
                <w:sz w:val="11"/>
                <w:szCs w:val="11"/>
                <w:color w:val="auto"/>
              </w:rPr>
              <w:t>(8,778)</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(17.8)%</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25.6%</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25.1%</w:t>
            </w:r>
          </w:p>
        </w:tc>
      </w:tr>
      <w:tr>
        <w:trPr>
          <w:trHeight w:val="176"/>
        </w:trPr>
        <w:tc>
          <w:tcPr>
            <w:tcW w:w="2580" w:type="dxa"/>
            <w:vAlign w:val="bottom"/>
            <w:tcBorders>
              <w:left w:val="single" w:sz="8" w:color="929292"/>
            </w:tcBorders>
          </w:tcPr>
          <w:p>
            <w:pPr>
              <w:ind w:left="660"/>
              <w:spacing w:after="0"/>
              <w:rPr>
                <w:sz w:val="20"/>
                <w:szCs w:val="20"/>
                <w:color w:val="auto"/>
              </w:rPr>
            </w:pPr>
            <w:r>
              <w:rPr>
                <w:rFonts w:ascii="Arial" w:cs="Arial" w:eastAsia="Arial" w:hAnsi="Arial"/>
                <w:sz w:val="11"/>
                <w:szCs w:val="11"/>
                <w:b w:val="1"/>
                <w:bCs w:val="1"/>
                <w:color w:val="0A2299"/>
              </w:rPr>
              <w:t>Enterprise net revenues</w:t>
            </w:r>
          </w:p>
        </w:tc>
        <w:tc>
          <w:tcPr>
            <w:tcW w:w="80" w:type="dxa"/>
            <w:vAlign w:val="bottom"/>
            <w:shd w:val="clear" w:color="auto" w:fill="929292"/>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shd w:val="clear" w:color="auto" w:fill="929292"/>
          </w:tcPr>
          <w:p>
            <w:pPr>
              <w:spacing w:after="0"/>
              <w:rPr>
                <w:sz w:val="15"/>
                <w:szCs w:val="15"/>
                <w:color w:val="auto"/>
              </w:rPr>
            </w:pPr>
          </w:p>
        </w:tc>
        <w:tc>
          <w:tcPr>
            <w:tcW w:w="1260" w:type="dxa"/>
            <w:vAlign w:val="bottom"/>
            <w:shd w:val="clear" w:color="auto" w:fill="929292"/>
          </w:tcPr>
          <w:p>
            <w:pPr>
              <w:spacing w:after="0"/>
              <w:rPr>
                <w:sz w:val="15"/>
                <w:szCs w:val="15"/>
                <w:color w:val="auto"/>
              </w:rPr>
            </w:pPr>
          </w:p>
        </w:tc>
      </w:tr>
      <w:tr>
        <w:trPr>
          <w:trHeight w:val="164"/>
        </w:trPr>
        <w:tc>
          <w:tcPr>
            <w:tcW w:w="258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743"/>
              <w:spacing w:after="0"/>
              <w:rPr>
                <w:sz w:val="20"/>
                <w:szCs w:val="20"/>
                <w:color w:val="auto"/>
              </w:rPr>
            </w:pPr>
            <w:r>
              <w:rPr>
                <w:rFonts w:ascii="Arial" w:cs="Arial" w:eastAsia="Arial" w:hAnsi="Arial"/>
                <w:sz w:val="11"/>
                <w:szCs w:val="11"/>
                <w:color w:val="auto"/>
              </w:rPr>
              <w:t>Six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0"/>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3"/>
        </w:trPr>
        <w:tc>
          <w:tcPr>
            <w:tcW w:w="258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101,570</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79,592</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63"/>
              <w:spacing w:after="0"/>
              <w:rPr>
                <w:sz w:val="20"/>
                <w:szCs w:val="20"/>
                <w:color w:val="auto"/>
              </w:rPr>
            </w:pPr>
            <w:r>
              <w:rPr>
                <w:rFonts w:ascii="Arial" w:cs="Arial" w:eastAsia="Arial" w:hAnsi="Arial"/>
                <w:sz w:val="11"/>
                <w:szCs w:val="11"/>
                <w:color w:val="auto"/>
              </w:rPr>
              <w:t>21,978</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27.6 %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23.7%</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97025" cy="698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-544830</wp:posOffset>
            </wp:positionV>
            <wp:extent cx="159702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03"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The decrease for the three months ended June 30, 2022 compared to the prior year period was primarily attributable to a decrease of $18.7 million related to partner marketing and enrollment services, partially offset by a $7.7 million increase in direct partner campaigns in our Medicare—Internal segment. The increase for the six months ended June 30, 2022 compared to the prior year period was primarily attributable to a $19.7 million increase in direct partner campaigns in our Medicare—Internal segment.</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our key components of operating expenses and results thereof for the three and six months ended June 30, 2022 and 2021:</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65"/>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0"/>
        </w:trPr>
        <w:tc>
          <w:tcPr>
            <w:tcW w:w="2580" w:type="dxa"/>
            <w:vAlign w:val="bottom"/>
            <w:tcBorders>
              <w:left w:val="single" w:sz="8" w:color="929292"/>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51,074</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37,442</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63"/>
              <w:spacing w:after="0"/>
              <w:rPr>
                <w:sz w:val="20"/>
                <w:szCs w:val="20"/>
                <w:color w:val="auto"/>
              </w:rPr>
            </w:pPr>
            <w:r>
              <w:rPr>
                <w:rFonts w:ascii="Arial" w:cs="Arial" w:eastAsia="Arial" w:hAnsi="Arial"/>
                <w:sz w:val="11"/>
                <w:szCs w:val="11"/>
                <w:color w:val="auto"/>
              </w:rPr>
              <w:t>13,632</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36.4 %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32.2%</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19.0%</w:t>
            </w:r>
          </w:p>
        </w:tc>
      </w:tr>
      <w:tr>
        <w:trPr>
          <w:trHeight w:val="176"/>
        </w:trPr>
        <w:tc>
          <w:tcPr>
            <w:tcW w:w="2580" w:type="dxa"/>
            <w:vAlign w:val="bottom"/>
            <w:tcBorders>
              <w:left w:val="single" w:sz="8" w:color="929292"/>
            </w:tcBorders>
          </w:tcPr>
          <w:p>
            <w:pPr>
              <w:ind w:left="880"/>
              <w:spacing w:after="0"/>
              <w:rPr>
                <w:sz w:val="20"/>
                <w:szCs w:val="20"/>
                <w:color w:val="auto"/>
              </w:rPr>
            </w:pPr>
            <w:r>
              <w:rPr>
                <w:rFonts w:ascii="Arial" w:cs="Arial" w:eastAsia="Arial" w:hAnsi="Arial"/>
                <w:sz w:val="11"/>
                <w:szCs w:val="11"/>
                <w:b w:val="1"/>
                <w:bCs w:val="1"/>
                <w:color w:val="0A2299"/>
              </w:rPr>
              <w:t>Cost of revenue</w:t>
            </w:r>
          </w:p>
        </w:tc>
        <w:tc>
          <w:tcPr>
            <w:tcW w:w="80" w:type="dxa"/>
            <w:vAlign w:val="bottom"/>
            <w:shd w:val="clear" w:color="auto" w:fill="929292"/>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shd w:val="clear" w:color="auto" w:fill="929292"/>
          </w:tcPr>
          <w:p>
            <w:pPr>
              <w:spacing w:after="0"/>
              <w:rPr>
                <w:sz w:val="15"/>
                <w:szCs w:val="15"/>
                <w:color w:val="auto"/>
              </w:rPr>
            </w:pPr>
          </w:p>
        </w:tc>
        <w:tc>
          <w:tcPr>
            <w:tcW w:w="1260" w:type="dxa"/>
            <w:vAlign w:val="bottom"/>
            <w:shd w:val="clear" w:color="auto" w:fill="929292"/>
          </w:tcPr>
          <w:p>
            <w:pPr>
              <w:spacing w:after="0"/>
              <w:rPr>
                <w:sz w:val="15"/>
                <w:szCs w:val="15"/>
                <w:color w:val="auto"/>
              </w:rPr>
            </w:pPr>
          </w:p>
        </w:tc>
      </w:tr>
      <w:tr>
        <w:trPr>
          <w:trHeight w:val="164"/>
        </w:trPr>
        <w:tc>
          <w:tcPr>
            <w:tcW w:w="258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743"/>
              <w:spacing w:after="0"/>
              <w:rPr>
                <w:sz w:val="20"/>
                <w:szCs w:val="20"/>
                <w:color w:val="auto"/>
              </w:rPr>
            </w:pPr>
            <w:r>
              <w:rPr>
                <w:rFonts w:ascii="Arial" w:cs="Arial" w:eastAsia="Arial" w:hAnsi="Arial"/>
                <w:sz w:val="11"/>
                <w:szCs w:val="11"/>
                <w:color w:val="auto"/>
              </w:rPr>
              <w:t>Six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0"/>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3"/>
        </w:trPr>
        <w:tc>
          <w:tcPr>
            <w:tcW w:w="258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118,997</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85,817</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63"/>
              <w:spacing w:after="0"/>
              <w:rPr>
                <w:sz w:val="20"/>
                <w:szCs w:val="20"/>
                <w:color w:val="auto"/>
              </w:rPr>
            </w:pPr>
            <w:r>
              <w:rPr>
                <w:rFonts w:ascii="Arial" w:cs="Arial" w:eastAsia="Arial" w:hAnsi="Arial"/>
                <w:sz w:val="11"/>
                <w:szCs w:val="11"/>
                <w:color w:val="auto"/>
              </w:rPr>
              <w:t>33,180</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38.7 %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27.7%</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21.4%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97025" cy="698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-544830</wp:posOffset>
            </wp:positionV>
            <wp:extent cx="159702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03" w:lineRule="exact"/>
        <w:rPr>
          <w:sz w:val="20"/>
          <w:szCs w:val="20"/>
          <w:color w:val="auto"/>
        </w:rPr>
      </w:pPr>
    </w:p>
    <w:p>
      <w:pPr>
        <w:ind w:right="320"/>
        <w:spacing w:after="0" w:line="261" w:lineRule="auto"/>
        <w:rPr>
          <w:sz w:val="20"/>
          <w:szCs w:val="20"/>
          <w:color w:val="auto"/>
        </w:rPr>
      </w:pPr>
      <w:r>
        <w:rPr>
          <w:rFonts w:ascii="Arial" w:cs="Arial" w:eastAsia="Arial" w:hAnsi="Arial"/>
          <w:sz w:val="13"/>
          <w:szCs w:val="13"/>
          <w:color w:val="auto"/>
        </w:rPr>
        <w:t>The increases for both the three and six months ended June 30, 2022 compared to the prior year periods were primarily attributable to a 118% and 114% increase in commissionable Approved Submissions in the Medicare—External segment, respectively, which increased the amount of expense we recognized pursuant to our revenue-sharing agreements with external agents and other partners.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65"/>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0"/>
        </w:trPr>
        <w:tc>
          <w:tcPr>
            <w:tcW w:w="2580" w:type="dxa"/>
            <w:vAlign w:val="bottom"/>
            <w:tcBorders>
              <w:left w:val="single" w:sz="8" w:color="929292"/>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44,714</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55,735</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23"/>
              <w:spacing w:after="0"/>
              <w:rPr>
                <w:sz w:val="20"/>
                <w:szCs w:val="20"/>
                <w:color w:val="auto"/>
              </w:rPr>
            </w:pPr>
            <w:r>
              <w:rPr>
                <w:rFonts w:ascii="Arial" w:cs="Arial" w:eastAsia="Arial" w:hAnsi="Arial"/>
                <w:sz w:val="11"/>
                <w:szCs w:val="11"/>
                <w:color w:val="auto"/>
              </w:rPr>
              <w:t>(11,021)</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(19.8)%</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28.2%</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28.3%</w:t>
            </w:r>
          </w:p>
        </w:tc>
      </w:tr>
      <w:tr>
        <w:trPr>
          <w:trHeight w:val="176"/>
        </w:trPr>
        <w:tc>
          <w:tcPr>
            <w:tcW w:w="2580" w:type="dxa"/>
            <w:vAlign w:val="bottom"/>
            <w:tcBorders>
              <w:left w:val="single" w:sz="8" w:color="929292"/>
            </w:tcBorders>
          </w:tcPr>
          <w:p>
            <w:pPr>
              <w:ind w:left="360"/>
              <w:spacing w:after="0"/>
              <w:rPr>
                <w:sz w:val="20"/>
                <w:szCs w:val="20"/>
                <w:color w:val="auto"/>
              </w:rPr>
            </w:pPr>
            <w:r>
              <w:rPr>
                <w:rFonts w:ascii="Arial" w:cs="Arial" w:eastAsia="Arial" w:hAnsi="Arial"/>
                <w:sz w:val="11"/>
                <w:szCs w:val="11"/>
                <w:b w:val="1"/>
                <w:bCs w:val="1"/>
                <w:color w:val="0A2299"/>
              </w:rPr>
              <w:t>Marketing and advertising expense</w:t>
            </w:r>
          </w:p>
        </w:tc>
        <w:tc>
          <w:tcPr>
            <w:tcW w:w="80" w:type="dxa"/>
            <w:vAlign w:val="bottom"/>
            <w:shd w:val="clear" w:color="auto" w:fill="929292"/>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shd w:val="clear" w:color="auto" w:fill="929292"/>
          </w:tcPr>
          <w:p>
            <w:pPr>
              <w:spacing w:after="0"/>
              <w:rPr>
                <w:sz w:val="15"/>
                <w:szCs w:val="15"/>
                <w:color w:val="auto"/>
              </w:rPr>
            </w:pPr>
          </w:p>
        </w:tc>
        <w:tc>
          <w:tcPr>
            <w:tcW w:w="1260" w:type="dxa"/>
            <w:vAlign w:val="bottom"/>
            <w:shd w:val="clear" w:color="auto" w:fill="929292"/>
          </w:tcPr>
          <w:p>
            <w:pPr>
              <w:spacing w:after="0"/>
              <w:rPr>
                <w:sz w:val="15"/>
                <w:szCs w:val="15"/>
                <w:color w:val="auto"/>
              </w:rPr>
            </w:pPr>
          </w:p>
        </w:tc>
      </w:tr>
      <w:tr>
        <w:trPr>
          <w:trHeight w:val="164"/>
        </w:trPr>
        <w:tc>
          <w:tcPr>
            <w:tcW w:w="258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743"/>
              <w:spacing w:after="0"/>
              <w:rPr>
                <w:sz w:val="20"/>
                <w:szCs w:val="20"/>
                <w:color w:val="auto"/>
              </w:rPr>
            </w:pPr>
            <w:r>
              <w:rPr>
                <w:rFonts w:ascii="Arial" w:cs="Arial" w:eastAsia="Arial" w:hAnsi="Arial"/>
                <w:sz w:val="11"/>
                <w:szCs w:val="11"/>
                <w:color w:val="auto"/>
              </w:rPr>
              <w:t>Six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0"/>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3"/>
        </w:trPr>
        <w:tc>
          <w:tcPr>
            <w:tcW w:w="258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128,747</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110,219</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63"/>
              <w:spacing w:after="0"/>
              <w:rPr>
                <w:sz w:val="20"/>
                <w:szCs w:val="20"/>
                <w:color w:val="auto"/>
              </w:rPr>
            </w:pPr>
            <w:r>
              <w:rPr>
                <w:rFonts w:ascii="Arial" w:cs="Arial" w:eastAsia="Arial" w:hAnsi="Arial"/>
                <w:sz w:val="11"/>
                <w:szCs w:val="11"/>
                <w:color w:val="auto"/>
              </w:rPr>
              <w:t>18,528</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16.8 %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30.0%</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97025" cy="698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-544830</wp:posOffset>
            </wp:positionV>
            <wp:extent cx="15970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03" w:lineRule="exact"/>
        <w:rPr>
          <w:sz w:val="20"/>
          <w:szCs w:val="20"/>
          <w:color w:val="auto"/>
        </w:rPr>
      </w:pPr>
    </w:p>
    <w:p>
      <w:pPr>
        <w:jc w:val="both"/>
        <w:ind w:right="40"/>
        <w:spacing w:after="0" w:line="261" w:lineRule="auto"/>
        <w:rPr>
          <w:sz w:val="20"/>
          <w:szCs w:val="20"/>
          <w:color w:val="auto"/>
        </w:rPr>
      </w:pPr>
      <w:r>
        <w:rPr>
          <w:rFonts w:ascii="Arial" w:cs="Arial" w:eastAsia="Arial" w:hAnsi="Arial"/>
          <w:sz w:val="13"/>
          <w:szCs w:val="13"/>
          <w:color w:val="auto"/>
        </w:rPr>
        <w:t>The decrease for the three months ended June 30, 2022 compared to the prior year period was primarily attributable to an intentional pullback on marketing and advertising spend as we focus on cash flow optimization. The increase for the six months ended June 30, 2022 compared to the prior year period was primarily driven by $29.5 million and 54.2% incremental marketing and advertising spend in the first quarter of 2022 relative to the prior year period to capitalize on the Medicare Advantage Open Enrollment Period.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27</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65"/>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0"/>
        </w:trPr>
        <w:tc>
          <w:tcPr>
            <w:tcW w:w="2580" w:type="dxa"/>
            <w:vAlign w:val="bottom"/>
            <w:tcBorders>
              <w:left w:val="single" w:sz="8" w:color="929292"/>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66,542</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61,927</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63"/>
              <w:spacing w:after="0"/>
              <w:rPr>
                <w:sz w:val="20"/>
                <w:szCs w:val="20"/>
                <w:color w:val="auto"/>
              </w:rPr>
            </w:pPr>
            <w:r>
              <w:rPr>
                <w:rFonts w:ascii="Arial" w:cs="Arial" w:eastAsia="Arial" w:hAnsi="Arial"/>
                <w:sz w:val="11"/>
                <w:szCs w:val="11"/>
                <w:color w:val="auto"/>
              </w:rPr>
              <w:t>4,615</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7.5 %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41.9%</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31.5%</w:t>
            </w:r>
          </w:p>
        </w:tc>
      </w:tr>
      <w:tr>
        <w:trPr>
          <w:trHeight w:val="176"/>
        </w:trPr>
        <w:tc>
          <w:tcPr>
            <w:tcW w:w="2580" w:type="dxa"/>
            <w:vAlign w:val="bottom"/>
            <w:tcBorders>
              <w:left w:val="single" w:sz="8" w:color="929292"/>
            </w:tcBorders>
          </w:tcPr>
          <w:p>
            <w:pPr>
              <w:ind w:left="480"/>
              <w:spacing w:after="0"/>
              <w:rPr>
                <w:sz w:val="20"/>
                <w:szCs w:val="20"/>
                <w:color w:val="auto"/>
              </w:rPr>
            </w:pPr>
            <w:r>
              <w:rPr>
                <w:rFonts w:ascii="Arial" w:cs="Arial" w:eastAsia="Arial" w:hAnsi="Arial"/>
                <w:sz w:val="11"/>
                <w:szCs w:val="11"/>
                <w:b w:val="1"/>
                <w:bCs w:val="1"/>
                <w:color w:val="0A2299"/>
              </w:rPr>
              <w:t>Customer care and enrollment</w:t>
            </w:r>
          </w:p>
        </w:tc>
        <w:tc>
          <w:tcPr>
            <w:tcW w:w="80" w:type="dxa"/>
            <w:vAlign w:val="bottom"/>
            <w:shd w:val="clear" w:color="auto" w:fill="929292"/>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shd w:val="clear" w:color="auto" w:fill="929292"/>
          </w:tcPr>
          <w:p>
            <w:pPr>
              <w:spacing w:after="0"/>
              <w:rPr>
                <w:sz w:val="15"/>
                <w:szCs w:val="15"/>
                <w:color w:val="auto"/>
              </w:rPr>
            </w:pPr>
          </w:p>
        </w:tc>
        <w:tc>
          <w:tcPr>
            <w:tcW w:w="1260" w:type="dxa"/>
            <w:vAlign w:val="bottom"/>
            <w:shd w:val="clear" w:color="auto" w:fill="929292"/>
          </w:tcPr>
          <w:p>
            <w:pPr>
              <w:spacing w:after="0"/>
              <w:rPr>
                <w:sz w:val="15"/>
                <w:szCs w:val="15"/>
                <w:color w:val="auto"/>
              </w:rPr>
            </w:pPr>
          </w:p>
        </w:tc>
      </w:tr>
      <w:tr>
        <w:trPr>
          <w:trHeight w:val="164"/>
        </w:trPr>
        <w:tc>
          <w:tcPr>
            <w:tcW w:w="258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743"/>
              <w:spacing w:after="0"/>
              <w:rPr>
                <w:sz w:val="20"/>
                <w:szCs w:val="20"/>
                <w:color w:val="auto"/>
              </w:rPr>
            </w:pPr>
            <w:r>
              <w:rPr>
                <w:rFonts w:ascii="Arial" w:cs="Arial" w:eastAsia="Arial" w:hAnsi="Arial"/>
                <w:sz w:val="11"/>
                <w:szCs w:val="11"/>
                <w:color w:val="auto"/>
              </w:rPr>
              <w:t>Six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0"/>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3"/>
        </w:trPr>
        <w:tc>
          <w:tcPr>
            <w:tcW w:w="258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144,997</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109,021</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63"/>
              <w:spacing w:after="0"/>
              <w:rPr>
                <w:sz w:val="20"/>
                <w:szCs w:val="20"/>
                <w:color w:val="auto"/>
              </w:rPr>
            </w:pPr>
            <w:r>
              <w:rPr>
                <w:rFonts w:ascii="Arial" w:cs="Arial" w:eastAsia="Arial" w:hAnsi="Arial"/>
                <w:sz w:val="11"/>
                <w:szCs w:val="11"/>
                <w:color w:val="auto"/>
              </w:rPr>
              <w:t>35,976</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33.0 %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33.8%</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97025" cy="698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-544830</wp:posOffset>
            </wp:positionV>
            <wp:extent cx="159702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14" w:lineRule="exact"/>
        <w:rPr>
          <w:sz w:val="20"/>
          <w:szCs w:val="20"/>
          <w:color w:val="auto"/>
        </w:rPr>
      </w:pPr>
    </w:p>
    <w:p>
      <w:pPr>
        <w:jc w:val="both"/>
        <w:ind w:right="80"/>
        <w:spacing w:after="0" w:line="252" w:lineRule="auto"/>
        <w:rPr>
          <w:sz w:val="20"/>
          <w:szCs w:val="20"/>
          <w:color w:val="auto"/>
        </w:rPr>
      </w:pPr>
      <w:r>
        <w:rPr>
          <w:rFonts w:ascii="Arial" w:cs="Arial" w:eastAsia="Arial" w:hAnsi="Arial"/>
          <w:sz w:val="13"/>
          <w:szCs w:val="13"/>
          <w:color w:val="auto"/>
        </w:rPr>
        <w:t>The increases for both the three and six months ended June 30, 2022 compared to the prior year periods were primarily attributable to increased agent costs associated with higher agent headcount. We hired and onboarded additional agents in the Medicare-Internal segment throughout 2021, particularly in the second and third quarters as we prepared for the annual enrollment period (“AEP”). As we have retained these additional agents, it has resulted in a larger agent base in the first half of 2022.</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60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3"/>
          </w:tcPr>
          <w:p>
            <w:pPr>
              <w:jc w:val="right"/>
              <w:ind w:right="663"/>
              <w:spacing w:after="0"/>
              <w:rPr>
                <w:sz w:val="20"/>
                <w:szCs w:val="20"/>
                <w:color w:val="auto"/>
              </w:rPr>
            </w:pPr>
            <w:r>
              <w:rPr>
                <w:rFonts w:ascii="Arial" w:cs="Arial" w:eastAsia="Arial" w:hAnsi="Arial"/>
                <w:sz w:val="11"/>
                <w:szCs w:val="11"/>
                <w:color w:val="auto"/>
              </w:rPr>
              <w:t>Three months ended Jun. 30,</w:t>
            </w: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929292"/>
            </w:tcBorders>
            <w:shd w:val="clear" w:color="auto" w:fill="929292"/>
          </w:tcPr>
          <w:p>
            <w:pPr>
              <w:spacing w:after="0"/>
              <w:rPr>
                <w:sz w:val="14"/>
                <w:szCs w:val="14"/>
                <w:color w:val="auto"/>
              </w:rPr>
            </w:pPr>
          </w:p>
        </w:tc>
        <w:tc>
          <w:tcPr>
            <w:tcW w:w="1740" w:type="dxa"/>
            <w:vAlign w:val="bottom"/>
            <w:tcBorders>
              <w:top w:val="single" w:sz="8" w:color="929292"/>
            </w:tcBorders>
            <w:gridSpan w:val="2"/>
            <w:shd w:val="clear" w:color="auto" w:fill="929292"/>
          </w:tcPr>
          <w:p>
            <w:pPr>
              <w:jc w:val="right"/>
              <w:ind w:right="703"/>
              <w:spacing w:after="0"/>
              <w:rPr>
                <w:sz w:val="20"/>
                <w:szCs w:val="20"/>
                <w:color w:val="auto"/>
              </w:rPr>
            </w:pPr>
            <w:r>
              <w:rPr>
                <w:rFonts w:ascii="Arial" w:cs="Arial" w:eastAsia="Arial" w:hAnsi="Arial"/>
                <w:sz w:val="11"/>
                <w:szCs w:val="11"/>
                <w:color w:val="FFFFFF"/>
              </w:rPr>
              <w:t>% of Net Revenues</w:t>
            </w:r>
          </w:p>
        </w:tc>
      </w:tr>
      <w:tr>
        <w:trPr>
          <w:trHeight w:val="165"/>
        </w:trPr>
        <w:tc>
          <w:tcPr>
            <w:tcW w:w="260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20" w:type="dxa"/>
            <w:vAlign w:val="bottom"/>
            <w:tcBorders>
              <w:bottom w:val="single" w:sz="8" w:color="929292"/>
            </w:tcBorders>
          </w:tcPr>
          <w:p>
            <w:pPr>
              <w:spacing w:after="0"/>
              <w:rPr>
                <w:sz w:val="14"/>
                <w:szCs w:val="14"/>
                <w:color w:val="auto"/>
              </w:rPr>
            </w:pPr>
          </w:p>
        </w:tc>
        <w:tc>
          <w:tcPr>
            <w:tcW w:w="11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2022</w:t>
            </w:r>
          </w:p>
        </w:tc>
        <w:tc>
          <w:tcPr>
            <w:tcW w:w="38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4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8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gridSpan w:val="2"/>
          </w:tcPr>
          <w:p>
            <w:pPr>
              <w:ind w:left="300"/>
              <w:spacing w:after="0"/>
              <w:rPr>
                <w:sz w:val="20"/>
                <w:szCs w:val="20"/>
                <w:color w:val="auto"/>
              </w:rPr>
            </w:pPr>
            <w:r>
              <w:rPr>
                <w:rFonts w:ascii="Arial" w:cs="Arial" w:eastAsia="Arial" w:hAnsi="Arial"/>
                <w:sz w:val="11"/>
                <w:szCs w:val="11"/>
                <w:color w:val="auto"/>
              </w:rPr>
              <w:t>% Change</w:t>
            </w:r>
          </w:p>
        </w:tc>
        <w:tc>
          <w:tcPr>
            <w:tcW w:w="760" w:type="dxa"/>
            <w:vAlign w:val="bottom"/>
            <w:tcBorders>
              <w:bottom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2022</w:t>
            </w:r>
          </w:p>
        </w:tc>
        <w:tc>
          <w:tcPr>
            <w:tcW w:w="480" w:type="dxa"/>
            <w:vAlign w:val="bottom"/>
            <w:tcBorders>
              <w:bottom w:val="single" w:sz="8" w:color="929292"/>
            </w:tcBorders>
            <w:shd w:val="clear" w:color="auto" w:fill="929292"/>
          </w:tcPr>
          <w:p>
            <w:pPr>
              <w:spacing w:after="0"/>
              <w:rPr>
                <w:sz w:val="14"/>
                <w:szCs w:val="14"/>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r>
      <w:tr>
        <w:trPr>
          <w:trHeight w:val="156"/>
        </w:trPr>
        <w:tc>
          <w:tcPr>
            <w:tcW w:w="2600" w:type="dxa"/>
            <w:vAlign w:val="bottom"/>
            <w:tcBorders>
              <w:left w:val="single" w:sz="8" w:color="929292"/>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20" w:type="dxa"/>
            <w:vAlign w:val="bottom"/>
          </w:tcPr>
          <w:p>
            <w:pPr>
              <w:ind w:left="2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10,749</w:t>
            </w:r>
          </w:p>
        </w:tc>
        <w:tc>
          <w:tcPr>
            <w:tcW w:w="38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11,983</w:t>
            </w:r>
          </w:p>
        </w:tc>
        <w:tc>
          <w:tcPr>
            <w:tcW w:w="3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43"/>
              <w:spacing w:after="0"/>
              <w:rPr>
                <w:sz w:val="20"/>
                <w:szCs w:val="20"/>
                <w:color w:val="auto"/>
              </w:rPr>
            </w:pPr>
            <w:r>
              <w:rPr>
                <w:rFonts w:ascii="Arial" w:cs="Arial" w:eastAsia="Arial" w:hAnsi="Arial"/>
                <w:sz w:val="11"/>
                <w:szCs w:val="11"/>
                <w:color w:val="auto"/>
              </w:rPr>
              <w:t>(1,234)</w:t>
            </w:r>
          </w:p>
        </w:tc>
        <w:tc>
          <w:tcPr>
            <w:tcW w:w="1320" w:type="dxa"/>
            <w:vAlign w:val="bottom"/>
          </w:tcPr>
          <w:p>
            <w:pPr>
              <w:jc w:val="right"/>
              <w:spacing w:after="0"/>
              <w:rPr>
                <w:sz w:val="20"/>
                <w:szCs w:val="20"/>
                <w:color w:val="auto"/>
              </w:rPr>
            </w:pPr>
            <w:r>
              <w:rPr>
                <w:rFonts w:ascii="Arial" w:cs="Arial" w:eastAsia="Arial" w:hAnsi="Arial"/>
                <w:sz w:val="11"/>
                <w:szCs w:val="11"/>
                <w:color w:val="auto"/>
              </w:rPr>
              <w:t>(10.3)%</w:t>
            </w:r>
          </w:p>
        </w:tc>
        <w:tc>
          <w:tcPr>
            <w:tcW w:w="80" w:type="dxa"/>
            <w:vAlign w:val="bottom"/>
          </w:tcPr>
          <w:p>
            <w:pPr>
              <w:spacing w:after="0"/>
              <w:rPr>
                <w:sz w:val="13"/>
                <w:szCs w:val="13"/>
                <w:color w:val="auto"/>
              </w:rPr>
            </w:pPr>
          </w:p>
        </w:tc>
        <w:tc>
          <w:tcPr>
            <w:tcW w:w="7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6.8%</w:t>
            </w:r>
          </w:p>
        </w:tc>
        <w:tc>
          <w:tcPr>
            <w:tcW w:w="480" w:type="dxa"/>
            <w:vAlign w:val="bottom"/>
            <w:shd w:val="clear" w:color="auto" w:fill="929292"/>
          </w:tcPr>
          <w:p>
            <w:pPr>
              <w:spacing w:after="0"/>
              <w:rPr>
                <w:sz w:val="13"/>
                <w:szCs w:val="13"/>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6.1%</w:t>
            </w:r>
          </w:p>
        </w:tc>
      </w:tr>
      <w:tr>
        <w:trPr>
          <w:trHeight w:val="170"/>
        </w:trPr>
        <w:tc>
          <w:tcPr>
            <w:tcW w:w="2600" w:type="dxa"/>
            <w:vAlign w:val="bottom"/>
            <w:tcBorders>
              <w:left w:val="single" w:sz="8" w:color="929292"/>
            </w:tcBorders>
          </w:tcPr>
          <w:p>
            <w:pPr>
              <w:ind w:left="740"/>
              <w:spacing w:after="0"/>
              <w:rPr>
                <w:sz w:val="20"/>
                <w:szCs w:val="20"/>
                <w:color w:val="auto"/>
              </w:rPr>
            </w:pPr>
            <w:r>
              <w:rPr>
                <w:rFonts w:ascii="Arial" w:cs="Arial" w:eastAsia="Arial" w:hAnsi="Arial"/>
                <w:sz w:val="11"/>
                <w:szCs w:val="11"/>
                <w:b w:val="1"/>
                <w:bCs w:val="1"/>
                <w:color w:val="0A2299"/>
              </w:rPr>
              <w:t>Technology expense</w:t>
            </w:r>
          </w:p>
        </w:tc>
        <w:tc>
          <w:tcPr>
            <w:tcW w:w="80" w:type="dxa"/>
            <w:vAlign w:val="bottom"/>
            <w:shd w:val="clear" w:color="auto" w:fill="929292"/>
          </w:tcPr>
          <w:p>
            <w:pPr>
              <w:spacing w:after="0"/>
              <w:rPr>
                <w:sz w:val="14"/>
                <w:szCs w:val="14"/>
                <w:color w:val="auto"/>
              </w:rPr>
            </w:pPr>
          </w:p>
        </w:tc>
        <w:tc>
          <w:tcPr>
            <w:tcW w:w="320" w:type="dxa"/>
            <w:vAlign w:val="bottom"/>
            <w:tcBorders>
              <w:left w:val="single" w:sz="8" w:color="929292"/>
            </w:tcBorders>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60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3"/>
                <w:szCs w:val="13"/>
                <w:color w:val="auto"/>
              </w:rPr>
              <w:t>Six months ended Jun. 30,</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Borders>
              <w:bottom w:val="single" w:sz="8" w:color="929292"/>
            </w:tcBorders>
          </w:tcPr>
          <w:p>
            <w:pPr>
              <w:spacing w:after="0"/>
              <w:rPr>
                <w:sz w:val="14"/>
                <w:szCs w:val="14"/>
                <w:color w:val="auto"/>
              </w:rPr>
            </w:pPr>
          </w:p>
        </w:tc>
        <w:tc>
          <w:tcPr>
            <w:tcW w:w="760" w:type="dxa"/>
            <w:vAlign w:val="bottom"/>
            <w:tcBorders>
              <w:bottom w:val="single" w:sz="8" w:color="929292"/>
            </w:tcBorders>
            <w:shd w:val="clear" w:color="auto" w:fill="929292"/>
          </w:tcPr>
          <w:p>
            <w:pPr>
              <w:spacing w:after="0"/>
              <w:rPr>
                <w:sz w:val="14"/>
                <w:szCs w:val="14"/>
                <w:color w:val="auto"/>
              </w:rPr>
            </w:pPr>
          </w:p>
        </w:tc>
        <w:tc>
          <w:tcPr>
            <w:tcW w:w="1740" w:type="dxa"/>
            <w:vAlign w:val="bottom"/>
            <w:tcBorders>
              <w:bottom w:val="single" w:sz="8" w:color="929292"/>
            </w:tcBorders>
            <w:gridSpan w:val="2"/>
            <w:shd w:val="clear" w:color="auto" w:fill="929292"/>
          </w:tcPr>
          <w:p>
            <w:pPr>
              <w:jc w:val="right"/>
              <w:ind w:right="703"/>
              <w:spacing w:after="0"/>
              <w:rPr>
                <w:sz w:val="20"/>
                <w:szCs w:val="20"/>
                <w:color w:val="auto"/>
              </w:rPr>
            </w:pPr>
            <w:r>
              <w:rPr>
                <w:rFonts w:ascii="Arial" w:cs="Arial" w:eastAsia="Arial" w:hAnsi="Arial"/>
                <w:sz w:val="11"/>
                <w:szCs w:val="11"/>
                <w:color w:val="FFFFFF"/>
              </w:rPr>
              <w:t>% of Net Revenues</w:t>
            </w:r>
          </w:p>
        </w:tc>
      </w:tr>
      <w:tr>
        <w:trPr>
          <w:trHeight w:val="146"/>
        </w:trPr>
        <w:tc>
          <w:tcPr>
            <w:tcW w:w="2600" w:type="dxa"/>
            <w:vAlign w:val="bottom"/>
            <w:tcBorders>
              <w:left w:val="single" w:sz="8" w:color="929292"/>
            </w:tcBorders>
          </w:tcPr>
          <w:p>
            <w:pPr>
              <w:spacing w:after="0"/>
              <w:rPr>
                <w:sz w:val="12"/>
                <w:szCs w:val="12"/>
                <w:color w:val="auto"/>
              </w:rPr>
            </w:pPr>
          </w:p>
        </w:tc>
        <w:tc>
          <w:tcPr>
            <w:tcW w:w="80" w:type="dxa"/>
            <w:vAlign w:val="bottom"/>
            <w:shd w:val="clear" w:color="auto" w:fill="929292"/>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563"/>
              <w:spacing w:after="0"/>
              <w:rPr>
                <w:sz w:val="20"/>
                <w:szCs w:val="20"/>
                <w:color w:val="auto"/>
              </w:rPr>
            </w:pPr>
            <w:r>
              <w:rPr>
                <w:rFonts w:ascii="Arial" w:cs="Arial" w:eastAsia="Arial" w:hAnsi="Arial"/>
                <w:sz w:val="11"/>
                <w:szCs w:val="11"/>
                <w:color w:val="auto"/>
              </w:rPr>
              <w:t>2022</w:t>
            </w:r>
          </w:p>
        </w:tc>
        <w:tc>
          <w:tcPr>
            <w:tcW w:w="380" w:type="dxa"/>
            <w:vAlign w:val="bottom"/>
          </w:tcPr>
          <w:p>
            <w:pPr>
              <w:spacing w:after="0"/>
              <w:rPr>
                <w:sz w:val="12"/>
                <w:szCs w:val="12"/>
                <w:color w:val="auto"/>
              </w:rPr>
            </w:pPr>
          </w:p>
        </w:tc>
        <w:tc>
          <w:tcPr>
            <w:tcW w:w="1100" w:type="dxa"/>
            <w:vAlign w:val="bottom"/>
          </w:tcPr>
          <w:p>
            <w:pPr>
              <w:jc w:val="right"/>
              <w:ind w:right="543"/>
              <w:spacing w:after="0"/>
              <w:rPr>
                <w:sz w:val="20"/>
                <w:szCs w:val="20"/>
                <w:color w:val="auto"/>
              </w:rPr>
            </w:pPr>
            <w:r>
              <w:rPr>
                <w:rFonts w:ascii="Arial" w:cs="Arial" w:eastAsia="Arial" w:hAnsi="Arial"/>
                <w:sz w:val="11"/>
                <w:szCs w:val="11"/>
                <w:color w:val="auto"/>
              </w:rPr>
              <w:t>2021</w:t>
            </w:r>
          </w:p>
        </w:tc>
        <w:tc>
          <w:tcPr>
            <w:tcW w:w="340" w:type="dxa"/>
            <w:vAlign w:val="bottom"/>
          </w:tcPr>
          <w:p>
            <w:pPr>
              <w:spacing w:after="0"/>
              <w:rPr>
                <w:sz w:val="12"/>
                <w:szCs w:val="12"/>
                <w:color w:val="auto"/>
              </w:rPr>
            </w:pPr>
          </w:p>
        </w:tc>
        <w:tc>
          <w:tcPr>
            <w:tcW w:w="1420" w:type="dxa"/>
            <w:vAlign w:val="bottom"/>
          </w:tcPr>
          <w:p>
            <w:pPr>
              <w:jc w:val="right"/>
              <w:ind w:right="683"/>
              <w:spacing w:after="0"/>
              <w:rPr>
                <w:sz w:val="20"/>
                <w:szCs w:val="20"/>
                <w:color w:val="auto"/>
              </w:rPr>
            </w:pPr>
            <w:r>
              <w:rPr>
                <w:rFonts w:ascii="Arial" w:cs="Arial" w:eastAsia="Arial" w:hAnsi="Arial"/>
                <w:sz w:val="11"/>
                <w:szCs w:val="11"/>
                <w:color w:val="auto"/>
              </w:rPr>
              <w:t>$ Change</w:t>
            </w:r>
          </w:p>
        </w:tc>
        <w:tc>
          <w:tcPr>
            <w:tcW w:w="1400" w:type="dxa"/>
            <w:vAlign w:val="bottom"/>
            <w:gridSpan w:val="2"/>
          </w:tcPr>
          <w:p>
            <w:pPr>
              <w:ind w:left="300"/>
              <w:spacing w:after="0"/>
              <w:rPr>
                <w:sz w:val="20"/>
                <w:szCs w:val="20"/>
                <w:color w:val="auto"/>
              </w:rPr>
            </w:pPr>
            <w:r>
              <w:rPr>
                <w:rFonts w:ascii="Arial" w:cs="Arial" w:eastAsia="Arial" w:hAnsi="Arial"/>
                <w:sz w:val="11"/>
                <w:szCs w:val="11"/>
                <w:color w:val="auto"/>
              </w:rPr>
              <w:t>% Change</w:t>
            </w:r>
          </w:p>
        </w:tc>
        <w:tc>
          <w:tcPr>
            <w:tcW w:w="7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2022</w:t>
            </w:r>
          </w:p>
        </w:tc>
        <w:tc>
          <w:tcPr>
            <w:tcW w:w="480" w:type="dxa"/>
            <w:vAlign w:val="bottom"/>
            <w:shd w:val="clear" w:color="auto" w:fill="929292"/>
          </w:tcPr>
          <w:p>
            <w:pPr>
              <w:spacing w:after="0"/>
              <w:rPr>
                <w:sz w:val="12"/>
                <w:szCs w:val="12"/>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r>
      <w:tr>
        <w:trPr>
          <w:trHeight w:val="153"/>
        </w:trPr>
        <w:tc>
          <w:tcPr>
            <w:tcW w:w="2600" w:type="dxa"/>
            <w:vAlign w:val="bottom"/>
            <w:tcBorders>
              <w:left w:val="single" w:sz="8" w:color="929292"/>
              <w:bottom w:val="single" w:sz="8" w:color="929292"/>
            </w:tcBorders>
          </w:tcPr>
          <w:p>
            <w:pPr>
              <w:spacing w:after="0"/>
              <w:rPr>
                <w:sz w:val="13"/>
                <w:szCs w:val="13"/>
                <w:color w:val="auto"/>
              </w:rPr>
            </w:pPr>
          </w:p>
        </w:tc>
        <w:tc>
          <w:tcPr>
            <w:tcW w:w="80" w:type="dxa"/>
            <w:vAlign w:val="bottom"/>
            <w:tcBorders>
              <w:top w:val="single" w:sz="8" w:color="929292"/>
              <w:bottom w:val="single" w:sz="8" w:color="929292"/>
            </w:tcBorders>
            <w:shd w:val="clear" w:color="auto" w:fill="929292"/>
          </w:tcPr>
          <w:p>
            <w:pPr>
              <w:spacing w:after="0"/>
              <w:rPr>
                <w:sz w:val="13"/>
                <w:szCs w:val="13"/>
                <w:color w:val="auto"/>
              </w:rPr>
            </w:pPr>
          </w:p>
        </w:tc>
        <w:tc>
          <w:tcPr>
            <w:tcW w:w="320" w:type="dxa"/>
            <w:vAlign w:val="bottom"/>
            <w:tcBorders>
              <w:top w:val="single" w:sz="8" w:color="929292"/>
            </w:tcBorders>
          </w:tcPr>
          <w:p>
            <w:pPr>
              <w:ind w:left="20"/>
              <w:spacing w:after="0"/>
              <w:rPr>
                <w:sz w:val="20"/>
                <w:szCs w:val="20"/>
                <w:color w:val="auto"/>
              </w:rPr>
            </w:pPr>
            <w:r>
              <w:rPr>
                <w:rFonts w:ascii="Arial" w:cs="Arial" w:eastAsia="Arial" w:hAnsi="Arial"/>
                <w:sz w:val="11"/>
                <w:szCs w:val="11"/>
                <w:color w:val="auto"/>
              </w:rPr>
              <w:t>$</w:t>
            </w:r>
          </w:p>
        </w:tc>
        <w:tc>
          <w:tcPr>
            <w:tcW w:w="1120" w:type="dxa"/>
            <w:vAlign w:val="bottom"/>
            <w:tcBorders>
              <w:top w:val="single" w:sz="8" w:color="929292"/>
            </w:tcBorders>
          </w:tcPr>
          <w:p>
            <w:pPr>
              <w:jc w:val="right"/>
              <w:ind w:right="23"/>
              <w:spacing w:after="0"/>
              <w:rPr>
                <w:sz w:val="20"/>
                <w:szCs w:val="20"/>
                <w:color w:val="auto"/>
              </w:rPr>
            </w:pPr>
            <w:r>
              <w:rPr>
                <w:rFonts w:ascii="Arial" w:cs="Arial" w:eastAsia="Arial" w:hAnsi="Arial"/>
                <w:sz w:val="11"/>
                <w:szCs w:val="11"/>
                <w:color w:val="auto"/>
              </w:rPr>
              <w:t>23,508</w:t>
            </w:r>
          </w:p>
        </w:tc>
        <w:tc>
          <w:tcPr>
            <w:tcW w:w="380" w:type="dxa"/>
            <w:vAlign w:val="bottom"/>
            <w:tcBorders>
              <w:top w:val="single" w:sz="8" w:color="929292"/>
            </w:tcBorders>
          </w:tcPr>
          <w:p>
            <w:pPr>
              <w:jc w:val="right"/>
              <w:ind w:right="183"/>
              <w:spacing w:after="0"/>
              <w:rPr>
                <w:sz w:val="20"/>
                <w:szCs w:val="20"/>
                <w:color w:val="auto"/>
              </w:rPr>
            </w:pPr>
            <w:r>
              <w:rPr>
                <w:rFonts w:ascii="Arial" w:cs="Arial" w:eastAsia="Arial" w:hAnsi="Arial"/>
                <w:sz w:val="11"/>
                <w:szCs w:val="11"/>
                <w:color w:val="auto"/>
              </w:rPr>
              <w:t>$</w:t>
            </w:r>
          </w:p>
        </w:tc>
        <w:tc>
          <w:tcPr>
            <w:tcW w:w="110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21,600</w:t>
            </w:r>
          </w:p>
        </w:tc>
        <w:tc>
          <w:tcPr>
            <w:tcW w:w="34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rPr>
              <w:t>$</w:t>
            </w:r>
          </w:p>
        </w:tc>
        <w:tc>
          <w:tcPr>
            <w:tcW w:w="1420" w:type="dxa"/>
            <w:vAlign w:val="bottom"/>
            <w:tcBorders>
              <w:top w:val="single" w:sz="8" w:color="929292"/>
            </w:tcBorders>
          </w:tcPr>
          <w:p>
            <w:pPr>
              <w:jc w:val="right"/>
              <w:ind w:right="283"/>
              <w:spacing w:after="0"/>
              <w:rPr>
                <w:sz w:val="20"/>
                <w:szCs w:val="20"/>
                <w:color w:val="auto"/>
              </w:rPr>
            </w:pPr>
            <w:r>
              <w:rPr>
                <w:rFonts w:ascii="Arial" w:cs="Arial" w:eastAsia="Arial" w:hAnsi="Arial"/>
                <w:sz w:val="11"/>
                <w:szCs w:val="11"/>
                <w:color w:val="auto"/>
              </w:rPr>
              <w:t>1,908</w:t>
            </w:r>
          </w:p>
        </w:tc>
        <w:tc>
          <w:tcPr>
            <w:tcW w:w="13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8.8 %</w:t>
            </w:r>
          </w:p>
        </w:tc>
        <w:tc>
          <w:tcPr>
            <w:tcW w:w="80" w:type="dxa"/>
            <w:vAlign w:val="bottom"/>
          </w:tcPr>
          <w:p>
            <w:pPr>
              <w:spacing w:after="0"/>
              <w:rPr>
                <w:sz w:val="13"/>
                <w:szCs w:val="13"/>
                <w:color w:val="auto"/>
              </w:rPr>
            </w:pPr>
          </w:p>
        </w:tc>
        <w:tc>
          <w:tcPr>
            <w:tcW w:w="760" w:type="dxa"/>
            <w:vAlign w:val="bottom"/>
            <w:tcBorders>
              <w:top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5.5%</w:t>
            </w:r>
          </w:p>
        </w:tc>
        <w:tc>
          <w:tcPr>
            <w:tcW w:w="480" w:type="dxa"/>
            <w:vAlign w:val="bottom"/>
            <w:tcBorders>
              <w:top w:val="single" w:sz="8" w:color="929292"/>
            </w:tcBorders>
            <w:shd w:val="clear" w:color="auto" w:fill="929292"/>
          </w:tcPr>
          <w:p>
            <w:pPr>
              <w:spacing w:after="0"/>
              <w:rPr>
                <w:sz w:val="13"/>
                <w:szCs w:val="13"/>
                <w:color w:val="auto"/>
              </w:rPr>
            </w:pPr>
          </w:p>
        </w:tc>
        <w:tc>
          <w:tcPr>
            <w:tcW w:w="1260" w:type="dxa"/>
            <w:vAlign w:val="bottom"/>
            <w:tcBorders>
              <w:top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5561330</wp:posOffset>
            </wp:positionH>
            <wp:positionV relativeFrom="paragraph">
              <wp:posOffset>-113665</wp:posOffset>
            </wp:positionV>
            <wp:extent cx="159004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90040" cy="698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-544830</wp:posOffset>
            </wp:positionV>
            <wp:extent cx="159004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90040" cy="6985"/>
                    </a:xfrm>
                    <a:prstGeom prst="rect">
                      <a:avLst/>
                    </a:prstGeom>
                    <a:noFill/>
                  </pic:spPr>
                </pic:pic>
              </a:graphicData>
            </a:graphic>
          </wp:anchor>
        </w:drawing>
      </w:r>
    </w:p>
    <w:p>
      <w:pPr>
        <w:spacing w:after="0" w:line="203"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The decrease for the three months ended June 30, 2022 compared to the prior year period was primarily attributable to reduced headcount in our technology support functions during the second quarter of 2022. The increase for the six months ended June 30, 2022 compared to the prior year period was primarily due to the hiring of additional employees throughout 2021 in our technology and data science teams, and the expansion of our business intelligence and analytics staffing in order to support the growth of the Medicare—Internal segment.</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0"/>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0"/>
        </w:trPr>
        <w:tc>
          <w:tcPr>
            <w:tcW w:w="2580" w:type="dxa"/>
            <w:vAlign w:val="bottom"/>
            <w:tcBorders>
              <w:left w:val="single" w:sz="8" w:color="929292"/>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38,106</w:t>
            </w:r>
          </w:p>
        </w:tc>
        <w:tc>
          <w:tcPr>
            <w:tcW w:w="400" w:type="dxa"/>
            <w:vAlign w:val="bottom"/>
          </w:tcPr>
          <w:p>
            <w:pPr>
              <w:spacing w:after="0"/>
              <w:rPr>
                <w:sz w:val="13"/>
                <w:szCs w:val="13"/>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25,297</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63"/>
              <w:spacing w:after="0"/>
              <w:rPr>
                <w:sz w:val="20"/>
                <w:szCs w:val="20"/>
                <w:color w:val="auto"/>
              </w:rPr>
            </w:pPr>
            <w:r>
              <w:rPr>
                <w:rFonts w:ascii="Arial" w:cs="Arial" w:eastAsia="Arial" w:hAnsi="Arial"/>
                <w:sz w:val="11"/>
                <w:szCs w:val="11"/>
                <w:color w:val="auto"/>
              </w:rPr>
              <w:t>12,809</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50.6 %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24.0%</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12.8%</w:t>
            </w:r>
          </w:p>
        </w:tc>
      </w:tr>
      <w:tr>
        <w:trPr>
          <w:trHeight w:val="176"/>
        </w:trPr>
        <w:tc>
          <w:tcPr>
            <w:tcW w:w="2580" w:type="dxa"/>
            <w:vAlign w:val="bottom"/>
            <w:tcBorders>
              <w:left w:val="single" w:sz="8" w:color="929292"/>
            </w:tcBorders>
          </w:tcPr>
          <w:p>
            <w:pPr>
              <w:ind w:left="340"/>
              <w:spacing w:after="0"/>
              <w:rPr>
                <w:sz w:val="20"/>
                <w:szCs w:val="20"/>
                <w:color w:val="auto"/>
              </w:rPr>
            </w:pPr>
            <w:r>
              <w:rPr>
                <w:rFonts w:ascii="Arial" w:cs="Arial" w:eastAsia="Arial" w:hAnsi="Arial"/>
                <w:sz w:val="11"/>
                <w:szCs w:val="11"/>
                <w:b w:val="1"/>
                <w:bCs w:val="1"/>
                <w:color w:val="0A2299"/>
              </w:rPr>
              <w:t>General and administrative expense</w:t>
            </w:r>
          </w:p>
        </w:tc>
        <w:tc>
          <w:tcPr>
            <w:tcW w:w="80" w:type="dxa"/>
            <w:vAlign w:val="bottom"/>
            <w:shd w:val="clear" w:color="auto" w:fill="929292"/>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shd w:val="clear" w:color="auto" w:fill="929292"/>
          </w:tcPr>
          <w:p>
            <w:pPr>
              <w:spacing w:after="0"/>
              <w:rPr>
                <w:sz w:val="15"/>
                <w:szCs w:val="15"/>
                <w:color w:val="auto"/>
              </w:rPr>
            </w:pPr>
          </w:p>
        </w:tc>
        <w:tc>
          <w:tcPr>
            <w:tcW w:w="1260" w:type="dxa"/>
            <w:vAlign w:val="bottom"/>
            <w:shd w:val="clear" w:color="auto" w:fill="929292"/>
          </w:tcPr>
          <w:p>
            <w:pPr>
              <w:spacing w:after="0"/>
              <w:rPr>
                <w:sz w:val="15"/>
                <w:szCs w:val="15"/>
                <w:color w:val="auto"/>
              </w:rPr>
            </w:pPr>
          </w:p>
        </w:tc>
      </w:tr>
      <w:tr>
        <w:trPr>
          <w:trHeight w:val="164"/>
        </w:trPr>
        <w:tc>
          <w:tcPr>
            <w:tcW w:w="258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743"/>
              <w:spacing w:after="0"/>
              <w:rPr>
                <w:sz w:val="20"/>
                <w:szCs w:val="20"/>
                <w:color w:val="auto"/>
              </w:rPr>
            </w:pPr>
            <w:r>
              <w:rPr>
                <w:rFonts w:ascii="Arial" w:cs="Arial" w:eastAsia="Arial" w:hAnsi="Arial"/>
                <w:sz w:val="11"/>
                <w:szCs w:val="11"/>
                <w:color w:val="auto"/>
              </w:rPr>
              <w:t>Six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0"/>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3"/>
        </w:trPr>
        <w:tc>
          <w:tcPr>
            <w:tcW w:w="258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67,323</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44,982</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63"/>
              <w:spacing w:after="0"/>
              <w:rPr>
                <w:sz w:val="20"/>
                <w:szCs w:val="20"/>
                <w:color w:val="auto"/>
              </w:rPr>
            </w:pPr>
            <w:r>
              <w:rPr>
                <w:rFonts w:ascii="Arial" w:cs="Arial" w:eastAsia="Arial" w:hAnsi="Arial"/>
                <w:sz w:val="11"/>
                <w:szCs w:val="11"/>
                <w:color w:val="auto"/>
              </w:rPr>
              <w:t>22,341</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49.7 %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15.7%</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6"/>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97025" cy="698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-544830</wp:posOffset>
            </wp:positionV>
            <wp:extent cx="159702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03"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The increase for the three months ended June 30, 2022 compared to the prior year period was primarily attributable to a $7.8 million increase in share-based compensation expense and $2.8 million in executive severance expense recorded during the three months ended June 30, 2022. Absent these items, the remaining increase was driven by investments in corporate infrastructure, such as legal, human resources, and finance. The increase for the six months ended June 30, 2022 compared to the prior year period was primarily attributable to a $7.7 million increase in share-based compensation expense, a $7.0 million increase in professional and consulting fees, and $2.8 million of executive severance expense. The remaining increase was driven by investments in corporate infrastructure, such as legal, human resources, and finance.</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65"/>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ind w:left="300"/>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0"/>
        </w:trPr>
        <w:tc>
          <w:tcPr>
            <w:tcW w:w="2580" w:type="dxa"/>
            <w:vAlign w:val="bottom"/>
            <w:tcBorders>
              <w:left w:val="single" w:sz="8" w:color="929292"/>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23,515</w:t>
            </w:r>
          </w:p>
        </w:tc>
        <w:tc>
          <w:tcPr>
            <w:tcW w:w="400" w:type="dxa"/>
            <w:vAlign w:val="bottom"/>
          </w:tcPr>
          <w:p>
            <w:pPr>
              <w:spacing w:after="0"/>
              <w:rPr>
                <w:sz w:val="13"/>
                <w:szCs w:val="13"/>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23,515</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ind w:left="980"/>
              <w:spacing w:after="0"/>
              <w:rPr>
                <w:sz w:val="20"/>
                <w:szCs w:val="20"/>
                <w:color w:val="auto"/>
              </w:rPr>
            </w:pPr>
            <w:r>
              <w:rPr>
                <w:rFonts w:ascii="Arial" w:cs="Arial" w:eastAsia="Arial" w:hAnsi="Arial"/>
                <w:sz w:val="11"/>
                <w:szCs w:val="11"/>
                <w:color w:val="auto"/>
              </w:rPr>
              <w:t>—</w:t>
            </w:r>
          </w:p>
        </w:tc>
        <w:tc>
          <w:tcPr>
            <w:tcW w:w="1400" w:type="dxa"/>
            <w:vAlign w:val="bottom"/>
          </w:tcPr>
          <w:p>
            <w:pPr>
              <w:ind w:left="1060"/>
              <w:spacing w:after="0"/>
              <w:rPr>
                <w:sz w:val="20"/>
                <w:szCs w:val="20"/>
                <w:color w:val="auto"/>
              </w:rPr>
            </w:pPr>
            <w:r>
              <w:rPr>
                <w:rFonts w:ascii="Arial" w:cs="Arial" w:eastAsia="Arial" w:hAnsi="Arial"/>
                <w:sz w:val="11"/>
                <w:szCs w:val="11"/>
                <w:color w:val="auto"/>
              </w:rPr>
              <w:t>—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14.8%</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6"/>
              </w:rPr>
              <w:t>11.9%</w:t>
            </w:r>
          </w:p>
        </w:tc>
      </w:tr>
      <w:tr>
        <w:trPr>
          <w:trHeight w:val="176"/>
        </w:trPr>
        <w:tc>
          <w:tcPr>
            <w:tcW w:w="2580" w:type="dxa"/>
            <w:vAlign w:val="bottom"/>
            <w:tcBorders>
              <w:left w:val="single" w:sz="8" w:color="929292"/>
            </w:tcBorders>
          </w:tcPr>
          <w:p>
            <w:pPr>
              <w:ind w:left="420"/>
              <w:spacing w:after="0"/>
              <w:rPr>
                <w:sz w:val="20"/>
                <w:szCs w:val="20"/>
                <w:color w:val="auto"/>
              </w:rPr>
            </w:pPr>
            <w:r>
              <w:rPr>
                <w:rFonts w:ascii="Arial" w:cs="Arial" w:eastAsia="Arial" w:hAnsi="Arial"/>
                <w:sz w:val="11"/>
                <w:szCs w:val="11"/>
                <w:b w:val="1"/>
                <w:bCs w:val="1"/>
                <w:color w:val="0A2299"/>
              </w:rPr>
              <w:t>Amortization of intangible assets</w:t>
            </w:r>
          </w:p>
        </w:tc>
        <w:tc>
          <w:tcPr>
            <w:tcW w:w="80" w:type="dxa"/>
            <w:vAlign w:val="bottom"/>
            <w:shd w:val="clear" w:color="auto" w:fill="929292"/>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shd w:val="clear" w:color="auto" w:fill="929292"/>
          </w:tcPr>
          <w:p>
            <w:pPr>
              <w:spacing w:after="0"/>
              <w:rPr>
                <w:sz w:val="15"/>
                <w:szCs w:val="15"/>
                <w:color w:val="auto"/>
              </w:rPr>
            </w:pPr>
          </w:p>
        </w:tc>
        <w:tc>
          <w:tcPr>
            <w:tcW w:w="1260" w:type="dxa"/>
            <w:vAlign w:val="bottom"/>
            <w:shd w:val="clear" w:color="auto" w:fill="929292"/>
          </w:tcPr>
          <w:p>
            <w:pPr>
              <w:spacing w:after="0"/>
              <w:rPr>
                <w:sz w:val="15"/>
                <w:szCs w:val="15"/>
                <w:color w:val="auto"/>
              </w:rPr>
            </w:pPr>
          </w:p>
        </w:tc>
      </w:tr>
      <w:tr>
        <w:trPr>
          <w:trHeight w:val="164"/>
        </w:trPr>
        <w:tc>
          <w:tcPr>
            <w:tcW w:w="258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743"/>
              <w:spacing w:after="0"/>
              <w:rPr>
                <w:sz w:val="20"/>
                <w:szCs w:val="20"/>
                <w:color w:val="auto"/>
              </w:rPr>
            </w:pPr>
            <w:r>
              <w:rPr>
                <w:rFonts w:ascii="Arial" w:cs="Arial" w:eastAsia="Arial" w:hAnsi="Arial"/>
                <w:sz w:val="11"/>
                <w:szCs w:val="11"/>
                <w:color w:val="auto"/>
              </w:rPr>
              <w:t>Six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0"/>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ind w:left="300"/>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3"/>
        </w:trPr>
        <w:tc>
          <w:tcPr>
            <w:tcW w:w="258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47,029</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47,029</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ind w:left="980"/>
              <w:spacing w:after="0"/>
              <w:rPr>
                <w:sz w:val="20"/>
                <w:szCs w:val="20"/>
                <w:color w:val="auto"/>
              </w:rPr>
            </w:pPr>
            <w:r>
              <w:rPr>
                <w:rFonts w:ascii="Arial" w:cs="Arial" w:eastAsia="Arial" w:hAnsi="Arial"/>
                <w:sz w:val="11"/>
                <w:szCs w:val="11"/>
                <w:color w:val="auto"/>
              </w:rPr>
              <w:t>—</w:t>
            </w:r>
          </w:p>
        </w:tc>
        <w:tc>
          <w:tcPr>
            <w:tcW w:w="1400" w:type="dxa"/>
            <w:vAlign w:val="bottom"/>
          </w:tcPr>
          <w:p>
            <w:pPr>
              <w:ind w:left="1060"/>
              <w:spacing w:after="0"/>
              <w:rPr>
                <w:sz w:val="20"/>
                <w:szCs w:val="20"/>
                <w:color w:val="auto"/>
              </w:rPr>
            </w:pPr>
            <w:r>
              <w:rPr>
                <w:rFonts w:ascii="Arial" w:cs="Arial" w:eastAsia="Arial" w:hAnsi="Arial"/>
                <w:sz w:val="11"/>
                <w:szCs w:val="11"/>
                <w:color w:val="auto"/>
              </w:rPr>
              <w:t>—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6"/>
              </w:rPr>
              <w:t>11.0%</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w w:val="96"/>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97025" cy="698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-544830</wp:posOffset>
            </wp:positionV>
            <wp:extent cx="159702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14" w:lineRule="exact"/>
        <w:rPr>
          <w:sz w:val="20"/>
          <w:szCs w:val="20"/>
          <w:color w:val="auto"/>
        </w:rPr>
      </w:pPr>
    </w:p>
    <w:p>
      <w:pPr>
        <w:ind w:right="560"/>
        <w:spacing w:after="0" w:line="266" w:lineRule="auto"/>
        <w:rPr>
          <w:sz w:val="20"/>
          <w:szCs w:val="20"/>
          <w:color w:val="auto"/>
        </w:rPr>
      </w:pPr>
      <w:r>
        <w:rPr>
          <w:rFonts w:ascii="Arial" w:cs="Arial" w:eastAsia="Arial" w:hAnsi="Arial"/>
          <w:sz w:val="13"/>
          <w:szCs w:val="13"/>
          <w:color w:val="auto"/>
        </w:rPr>
        <w:t>Amortization of intangible assets expense was $23.5 million and $47.0 million for both the three and six months ended June 30, 2022 and 2021, respectively, and relates to the amortization of developed technology and customer relationships.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2540" w:type="dxa"/>
            <w:vAlign w:val="bottom"/>
            <w:gridSpan w:val="3"/>
          </w:tcPr>
          <w:p>
            <w:pPr>
              <w:jc w:val="right"/>
              <w:ind w:right="283"/>
              <w:spacing w:after="0"/>
              <w:rPr>
                <w:sz w:val="20"/>
                <w:szCs w:val="20"/>
                <w:color w:val="auto"/>
              </w:rPr>
            </w:pPr>
            <w:r>
              <w:rPr>
                <w:rFonts w:ascii="Arial" w:cs="Arial" w:eastAsia="Arial" w:hAnsi="Arial"/>
                <w:sz w:val="11"/>
                <w:szCs w:val="11"/>
                <w:color w:val="auto"/>
              </w:rPr>
              <w:t>Three months ended Jun. 30,</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c>
          <w:tcPr>
            <w:tcW w:w="760" w:type="dxa"/>
            <w:vAlign w:val="bottom"/>
            <w:tcBorders>
              <w:top w:val="single" w:sz="8" w:color="929292"/>
            </w:tcBorders>
            <w:shd w:val="clear" w:color="auto" w:fill="929292"/>
          </w:tcPr>
          <w:p>
            <w:pPr>
              <w:spacing w:after="0"/>
              <w:rPr>
                <w:sz w:val="14"/>
                <w:szCs w:val="14"/>
                <w:color w:val="auto"/>
              </w:rPr>
            </w:pPr>
          </w:p>
        </w:tc>
      </w:tr>
      <w:tr>
        <w:trPr>
          <w:trHeight w:val="165"/>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920" w:type="dxa"/>
            <w:vAlign w:val="bottom"/>
            <w:tcBorders>
              <w:bottom w:val="single" w:sz="8" w:color="929292"/>
            </w:tcBorders>
          </w:tcPr>
          <w:p>
            <w:pPr>
              <w:jc w:val="right"/>
              <w:ind w:right="23"/>
              <w:spacing w:after="0"/>
              <w:rPr>
                <w:sz w:val="20"/>
                <w:szCs w:val="20"/>
                <w:color w:val="auto"/>
              </w:rPr>
            </w:pPr>
            <w:r>
              <w:rPr>
                <w:rFonts w:ascii="Arial" w:cs="Arial" w:eastAsia="Arial" w:hAnsi="Arial"/>
                <w:sz w:val="11"/>
                <w:szCs w:val="11"/>
                <w:color w:val="auto"/>
              </w:rPr>
              <w:t>2022</w:t>
            </w:r>
          </w:p>
        </w:tc>
        <w:tc>
          <w:tcPr>
            <w:tcW w:w="52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143"/>
              <w:spacing w:after="0"/>
              <w:rPr>
                <w:sz w:val="20"/>
                <w:szCs w:val="20"/>
                <w:color w:val="auto"/>
              </w:rPr>
            </w:pPr>
            <w:r>
              <w:rPr>
                <w:rFonts w:ascii="Arial" w:cs="Arial" w:eastAsia="Arial" w:hAnsi="Arial"/>
                <w:sz w:val="11"/>
                <w:szCs w:val="11"/>
                <w:color w:val="auto"/>
              </w:rPr>
              <w:t>2021</w:t>
            </w:r>
          </w:p>
        </w:tc>
        <w:tc>
          <w:tcPr>
            <w:tcW w:w="400" w:type="dxa"/>
            <w:vAlign w:val="bottom"/>
            <w:tcBorders>
              <w:bottom w:val="single" w:sz="8" w:color="929292"/>
            </w:tcBorders>
          </w:tcPr>
          <w:p>
            <w:pPr>
              <w:spacing w:after="0"/>
              <w:rPr>
                <w:sz w:val="14"/>
                <w:szCs w:val="14"/>
                <w:color w:val="auto"/>
              </w:rPr>
            </w:pPr>
          </w:p>
        </w:tc>
        <w:tc>
          <w:tcPr>
            <w:tcW w:w="60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500" w:type="dxa"/>
            <w:vAlign w:val="bottom"/>
            <w:tcBorders>
              <w:bottom w:val="single" w:sz="8" w:color="929292"/>
            </w:tcBorders>
            <w:shd w:val="clear" w:color="auto" w:fill="929292"/>
          </w:tcPr>
          <w:p>
            <w:pPr>
              <w:spacing w:after="0"/>
              <w:rPr>
                <w:sz w:val="14"/>
                <w:szCs w:val="14"/>
                <w:color w:val="auto"/>
              </w:rPr>
            </w:pPr>
          </w:p>
        </w:tc>
        <w:tc>
          <w:tcPr>
            <w:tcW w:w="760" w:type="dxa"/>
            <w:vAlign w:val="bottom"/>
            <w:tcBorders>
              <w:bottom w:val="single" w:sz="8" w:color="929292"/>
            </w:tcBorders>
            <w:shd w:val="clear" w:color="auto" w:fill="929292"/>
          </w:tcPr>
          <w:p>
            <w:pPr>
              <w:jc w:val="center"/>
              <w:ind w:right="443"/>
              <w:spacing w:after="0"/>
              <w:rPr>
                <w:sz w:val="20"/>
                <w:szCs w:val="20"/>
                <w:color w:val="auto"/>
              </w:rPr>
            </w:pPr>
            <w:r>
              <w:rPr>
                <w:rFonts w:ascii="Arial" w:cs="Arial" w:eastAsia="Arial" w:hAnsi="Arial"/>
                <w:sz w:val="11"/>
                <w:szCs w:val="11"/>
                <w:color w:val="FFFFFF"/>
              </w:rPr>
              <w:t>2021</w:t>
            </w:r>
          </w:p>
        </w:tc>
      </w:tr>
      <w:tr>
        <w:trPr>
          <w:trHeight w:val="150"/>
        </w:trPr>
        <w:tc>
          <w:tcPr>
            <w:tcW w:w="2580" w:type="dxa"/>
            <w:vAlign w:val="bottom"/>
            <w:tcBorders>
              <w:left w:val="single" w:sz="8" w:color="929292"/>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ind w:right="23"/>
              <w:spacing w:after="0"/>
              <w:rPr>
                <w:sz w:val="20"/>
                <w:szCs w:val="20"/>
                <w:color w:val="auto"/>
              </w:rPr>
            </w:pPr>
            <w:r>
              <w:rPr>
                <w:rFonts w:ascii="Arial" w:cs="Arial" w:eastAsia="Arial" w:hAnsi="Arial"/>
                <w:sz w:val="11"/>
                <w:szCs w:val="11"/>
                <w:color w:val="auto"/>
              </w:rPr>
              <w:t>24,995</w:t>
            </w:r>
          </w:p>
        </w:tc>
        <w:tc>
          <w:tcPr>
            <w:tcW w:w="1100" w:type="dxa"/>
            <w:vAlign w:val="bottom"/>
          </w:tcPr>
          <w:p>
            <w:pPr>
              <w:spacing w:after="0"/>
              <w:rPr>
                <w:sz w:val="13"/>
                <w:szCs w:val="13"/>
                <w:color w:val="auto"/>
              </w:rPr>
            </w:pPr>
          </w:p>
        </w:tc>
        <w:tc>
          <w:tcPr>
            <w:tcW w:w="400" w:type="dxa"/>
            <w:vAlign w:val="bottom"/>
          </w:tcPr>
          <w:p>
            <w:pPr>
              <w:ind w:left="2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03"/>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263"/>
              <w:spacing w:after="0"/>
              <w:rPr>
                <w:sz w:val="20"/>
                <w:szCs w:val="20"/>
                <w:color w:val="auto"/>
              </w:rPr>
            </w:pPr>
            <w:r>
              <w:rPr>
                <w:rFonts w:ascii="Arial" w:cs="Arial" w:eastAsia="Arial" w:hAnsi="Arial"/>
                <w:sz w:val="11"/>
                <w:szCs w:val="11"/>
                <w:color w:val="auto"/>
              </w:rPr>
              <w:t>24,995</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100.0 %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15.8%</w:t>
            </w:r>
          </w:p>
        </w:tc>
        <w:tc>
          <w:tcPr>
            <w:tcW w:w="500" w:type="dxa"/>
            <w:vAlign w:val="bottom"/>
            <w:shd w:val="clear" w:color="auto" w:fill="929292"/>
          </w:tcPr>
          <w:p>
            <w:pPr>
              <w:spacing w:after="0"/>
              <w:rPr>
                <w:sz w:val="13"/>
                <w:szCs w:val="13"/>
                <w:color w:val="auto"/>
              </w:rPr>
            </w:pPr>
          </w:p>
        </w:tc>
        <w:tc>
          <w:tcPr>
            <w:tcW w:w="760" w:type="dxa"/>
            <w:vAlign w:val="bottom"/>
            <w:shd w:val="clear" w:color="auto" w:fill="929292"/>
          </w:tcPr>
          <w:p>
            <w:pPr>
              <w:jc w:val="center"/>
              <w:ind w:right="443"/>
              <w:spacing w:after="0"/>
              <w:rPr>
                <w:sz w:val="20"/>
                <w:szCs w:val="20"/>
                <w:color w:val="auto"/>
              </w:rPr>
            </w:pPr>
            <w:r>
              <w:rPr>
                <w:rFonts w:ascii="Arial" w:cs="Arial" w:eastAsia="Arial" w:hAnsi="Arial"/>
                <w:sz w:val="11"/>
                <w:szCs w:val="11"/>
                <w:color w:val="FFFFFF"/>
              </w:rPr>
              <w:t>—%</w:t>
            </w:r>
          </w:p>
        </w:tc>
      </w:tr>
      <w:tr>
        <w:trPr>
          <w:trHeight w:val="176"/>
        </w:trPr>
        <w:tc>
          <w:tcPr>
            <w:tcW w:w="2580" w:type="dxa"/>
            <w:vAlign w:val="bottom"/>
            <w:tcBorders>
              <w:left w:val="single" w:sz="8" w:color="929292"/>
            </w:tcBorders>
          </w:tcPr>
          <w:p>
            <w:pPr>
              <w:ind w:left="320"/>
              <w:spacing w:after="0"/>
              <w:rPr>
                <w:sz w:val="20"/>
                <w:szCs w:val="20"/>
                <w:color w:val="auto"/>
              </w:rPr>
            </w:pPr>
            <w:r>
              <w:rPr>
                <w:rFonts w:ascii="Arial" w:cs="Arial" w:eastAsia="Arial" w:hAnsi="Arial"/>
                <w:sz w:val="11"/>
                <w:szCs w:val="11"/>
                <w:b w:val="1"/>
                <w:bCs w:val="1"/>
                <w:color w:val="0A2299"/>
              </w:rPr>
              <w:t>Operating lease impairment charges</w:t>
            </w:r>
          </w:p>
        </w:tc>
        <w:tc>
          <w:tcPr>
            <w:tcW w:w="80" w:type="dxa"/>
            <w:vAlign w:val="bottom"/>
            <w:shd w:val="clear" w:color="auto" w:fill="929292"/>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shd w:val="clear" w:color="auto" w:fill="929292"/>
          </w:tcPr>
          <w:p>
            <w:pPr>
              <w:spacing w:after="0"/>
              <w:rPr>
                <w:sz w:val="15"/>
                <w:szCs w:val="15"/>
                <w:color w:val="auto"/>
              </w:rPr>
            </w:pPr>
          </w:p>
        </w:tc>
        <w:tc>
          <w:tcPr>
            <w:tcW w:w="500" w:type="dxa"/>
            <w:vAlign w:val="bottom"/>
            <w:shd w:val="clear" w:color="auto" w:fill="929292"/>
          </w:tcPr>
          <w:p>
            <w:pPr>
              <w:spacing w:after="0"/>
              <w:rPr>
                <w:sz w:val="15"/>
                <w:szCs w:val="15"/>
                <w:color w:val="auto"/>
              </w:rPr>
            </w:pPr>
          </w:p>
        </w:tc>
        <w:tc>
          <w:tcPr>
            <w:tcW w:w="760" w:type="dxa"/>
            <w:vAlign w:val="bottom"/>
            <w:shd w:val="clear" w:color="auto" w:fill="929292"/>
          </w:tcPr>
          <w:p>
            <w:pPr>
              <w:spacing w:after="0"/>
              <w:rPr>
                <w:sz w:val="15"/>
                <w:szCs w:val="15"/>
                <w:color w:val="auto"/>
              </w:rPr>
            </w:pPr>
          </w:p>
        </w:tc>
      </w:tr>
      <w:tr>
        <w:trPr>
          <w:trHeight w:val="164"/>
        </w:trPr>
        <w:tc>
          <w:tcPr>
            <w:tcW w:w="258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540" w:type="dxa"/>
            <w:vAlign w:val="bottom"/>
            <w:gridSpan w:val="3"/>
          </w:tcPr>
          <w:p>
            <w:pPr>
              <w:jc w:val="right"/>
              <w:ind w:right="343"/>
              <w:spacing w:after="0"/>
              <w:rPr>
                <w:sz w:val="20"/>
                <w:szCs w:val="20"/>
                <w:color w:val="auto"/>
              </w:rPr>
            </w:pPr>
            <w:r>
              <w:rPr>
                <w:rFonts w:ascii="Arial" w:cs="Arial" w:eastAsia="Arial" w:hAnsi="Arial"/>
                <w:sz w:val="11"/>
                <w:szCs w:val="11"/>
                <w:color w:val="auto"/>
              </w:rPr>
              <w:t>Six months ended Jun. 30,</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c>
          <w:tcPr>
            <w:tcW w:w="760" w:type="dxa"/>
            <w:vAlign w:val="bottom"/>
            <w:shd w:val="clear" w:color="auto" w:fill="929292"/>
          </w:tcPr>
          <w:p>
            <w:pPr>
              <w:spacing w:after="0"/>
              <w:rPr>
                <w:sz w:val="14"/>
                <w:szCs w:val="14"/>
                <w:color w:val="auto"/>
              </w:rPr>
            </w:pPr>
          </w:p>
        </w:tc>
      </w:tr>
      <w:tr>
        <w:trPr>
          <w:trHeight w:val="170"/>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920" w:type="dxa"/>
            <w:vAlign w:val="bottom"/>
            <w:tcBorders>
              <w:bottom w:val="single" w:sz="8" w:color="929292"/>
            </w:tcBorders>
          </w:tcPr>
          <w:p>
            <w:pPr>
              <w:jc w:val="right"/>
              <w:ind w:right="23"/>
              <w:spacing w:after="0"/>
              <w:rPr>
                <w:sz w:val="20"/>
                <w:szCs w:val="20"/>
                <w:color w:val="auto"/>
              </w:rPr>
            </w:pPr>
            <w:r>
              <w:rPr>
                <w:rFonts w:ascii="Arial" w:cs="Arial" w:eastAsia="Arial" w:hAnsi="Arial"/>
                <w:sz w:val="11"/>
                <w:szCs w:val="11"/>
                <w:color w:val="auto"/>
              </w:rPr>
              <w:t>2022</w:t>
            </w:r>
          </w:p>
        </w:tc>
        <w:tc>
          <w:tcPr>
            <w:tcW w:w="52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143"/>
              <w:spacing w:after="0"/>
              <w:rPr>
                <w:sz w:val="20"/>
                <w:szCs w:val="20"/>
                <w:color w:val="auto"/>
              </w:rPr>
            </w:pPr>
            <w:r>
              <w:rPr>
                <w:rFonts w:ascii="Arial" w:cs="Arial" w:eastAsia="Arial" w:hAnsi="Arial"/>
                <w:sz w:val="11"/>
                <w:szCs w:val="11"/>
                <w:color w:val="auto"/>
              </w:rPr>
              <w:t>2021</w:t>
            </w:r>
          </w:p>
        </w:tc>
        <w:tc>
          <w:tcPr>
            <w:tcW w:w="400" w:type="dxa"/>
            <w:vAlign w:val="bottom"/>
            <w:tcBorders>
              <w:bottom w:val="single" w:sz="8" w:color="929292"/>
            </w:tcBorders>
          </w:tcPr>
          <w:p>
            <w:pPr>
              <w:spacing w:after="0"/>
              <w:rPr>
                <w:sz w:val="14"/>
                <w:szCs w:val="14"/>
                <w:color w:val="auto"/>
              </w:rPr>
            </w:pPr>
          </w:p>
        </w:tc>
        <w:tc>
          <w:tcPr>
            <w:tcW w:w="60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500" w:type="dxa"/>
            <w:vAlign w:val="bottom"/>
            <w:tcBorders>
              <w:bottom w:val="single" w:sz="8" w:color="929292"/>
            </w:tcBorders>
            <w:shd w:val="clear" w:color="auto" w:fill="929292"/>
          </w:tcPr>
          <w:p>
            <w:pPr>
              <w:spacing w:after="0"/>
              <w:rPr>
                <w:sz w:val="14"/>
                <w:szCs w:val="14"/>
                <w:color w:val="auto"/>
              </w:rPr>
            </w:pPr>
          </w:p>
        </w:tc>
        <w:tc>
          <w:tcPr>
            <w:tcW w:w="760" w:type="dxa"/>
            <w:vAlign w:val="bottom"/>
            <w:tcBorders>
              <w:bottom w:val="single" w:sz="8" w:color="929292"/>
            </w:tcBorders>
            <w:shd w:val="clear" w:color="auto" w:fill="929292"/>
          </w:tcPr>
          <w:p>
            <w:pPr>
              <w:jc w:val="center"/>
              <w:ind w:right="443"/>
              <w:spacing w:after="0"/>
              <w:rPr>
                <w:sz w:val="20"/>
                <w:szCs w:val="20"/>
                <w:color w:val="auto"/>
              </w:rPr>
            </w:pPr>
            <w:r>
              <w:rPr>
                <w:rFonts w:ascii="Arial" w:cs="Arial" w:eastAsia="Arial" w:hAnsi="Arial"/>
                <w:sz w:val="11"/>
                <w:szCs w:val="11"/>
                <w:color w:val="FFFFFF"/>
              </w:rPr>
              <w:t>2021</w:t>
            </w:r>
          </w:p>
        </w:tc>
      </w:tr>
      <w:tr>
        <w:trPr>
          <w:trHeight w:val="153"/>
        </w:trPr>
        <w:tc>
          <w:tcPr>
            <w:tcW w:w="258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920" w:type="dxa"/>
            <w:vAlign w:val="bottom"/>
          </w:tcPr>
          <w:p>
            <w:pPr>
              <w:jc w:val="right"/>
              <w:ind w:right="78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23"/>
              <w:spacing w:after="0"/>
              <w:rPr>
                <w:sz w:val="20"/>
                <w:szCs w:val="20"/>
                <w:color w:val="auto"/>
              </w:rPr>
            </w:pPr>
            <w:r>
              <w:rPr>
                <w:rFonts w:ascii="Arial" w:cs="Arial" w:eastAsia="Arial" w:hAnsi="Arial"/>
                <w:sz w:val="11"/>
                <w:szCs w:val="11"/>
                <w:color w:val="auto"/>
              </w:rPr>
              <w:t>24,995</w:t>
            </w:r>
          </w:p>
        </w:tc>
        <w:tc>
          <w:tcPr>
            <w:tcW w:w="1100" w:type="dxa"/>
            <w:vAlign w:val="bottom"/>
          </w:tcPr>
          <w:p>
            <w:pPr>
              <w:jc w:val="right"/>
              <w:ind w:right="903"/>
              <w:spacing w:after="0"/>
              <w:rPr>
                <w:sz w:val="20"/>
                <w:szCs w:val="20"/>
                <w:color w:val="auto"/>
              </w:rPr>
            </w:pPr>
            <w:r>
              <w:rPr>
                <w:rFonts w:ascii="Arial" w:cs="Arial" w:eastAsia="Arial" w:hAnsi="Arial"/>
                <w:sz w:val="11"/>
                <w:szCs w:val="11"/>
                <w:color w:val="auto"/>
              </w:rPr>
              <w:t>$</w:t>
            </w:r>
          </w:p>
        </w:tc>
        <w:tc>
          <w:tcPr>
            <w:tcW w:w="400" w:type="dxa"/>
            <w:vAlign w:val="bottom"/>
          </w:tcPr>
          <w:p>
            <w:pPr>
              <w:ind w:left="2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03"/>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263"/>
              <w:spacing w:after="0"/>
              <w:rPr>
                <w:sz w:val="20"/>
                <w:szCs w:val="20"/>
                <w:color w:val="auto"/>
              </w:rPr>
            </w:pPr>
            <w:r>
              <w:rPr>
                <w:rFonts w:ascii="Arial" w:cs="Arial" w:eastAsia="Arial" w:hAnsi="Arial"/>
                <w:sz w:val="11"/>
                <w:szCs w:val="11"/>
                <w:color w:val="auto"/>
              </w:rPr>
              <w:t>24,995</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100.0 %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5.8%</w:t>
            </w:r>
          </w:p>
        </w:tc>
        <w:tc>
          <w:tcPr>
            <w:tcW w:w="500" w:type="dxa"/>
            <w:vAlign w:val="bottom"/>
            <w:shd w:val="clear" w:color="auto" w:fill="929292"/>
          </w:tcPr>
          <w:p>
            <w:pPr>
              <w:spacing w:after="0"/>
              <w:rPr>
                <w:sz w:val="13"/>
                <w:szCs w:val="13"/>
                <w:color w:val="auto"/>
              </w:rPr>
            </w:pPr>
          </w:p>
        </w:tc>
        <w:tc>
          <w:tcPr>
            <w:tcW w:w="760" w:type="dxa"/>
            <w:vAlign w:val="bottom"/>
            <w:shd w:val="clear" w:color="auto" w:fill="929292"/>
          </w:tcPr>
          <w:p>
            <w:pPr>
              <w:jc w:val="center"/>
              <w:ind w:right="443"/>
              <w:spacing w:after="0"/>
              <w:rPr>
                <w:sz w:val="20"/>
                <w:szCs w:val="20"/>
                <w:color w:val="auto"/>
              </w:rPr>
            </w:pPr>
            <w:r>
              <w:rPr>
                <w:rFonts w:ascii="Arial" w:cs="Arial" w:eastAsia="Arial" w:hAnsi="Arial"/>
                <w:sz w:val="11"/>
                <w:szCs w:val="11"/>
                <w:color w:val="FFFFF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97025" cy="698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-544830</wp:posOffset>
            </wp:positionV>
            <wp:extent cx="159702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03" w:lineRule="exact"/>
        <w:rPr>
          <w:sz w:val="20"/>
          <w:szCs w:val="20"/>
          <w:color w:val="auto"/>
        </w:rPr>
      </w:pPr>
    </w:p>
    <w:p>
      <w:pPr>
        <w:ind w:right="240"/>
        <w:spacing w:after="0" w:line="283" w:lineRule="auto"/>
        <w:rPr>
          <w:sz w:val="20"/>
          <w:szCs w:val="20"/>
          <w:color w:val="auto"/>
        </w:rPr>
      </w:pPr>
      <w:r>
        <w:rPr>
          <w:rFonts w:ascii="Arial" w:cs="Arial" w:eastAsia="Arial" w:hAnsi="Arial"/>
          <w:sz w:val="12"/>
          <w:szCs w:val="12"/>
          <w:color w:val="auto"/>
        </w:rPr>
        <w:t>As part of the Company’s continued cost savings initiatives, the Company is actively looking to terminate or sublease certain office spaces and call centers. These actions resulted in a $25.0 million operating lease impairment charge for the three and six months ended June 30, 2022, reducing the carrying value of the associated ROU assets and leasehold improvements to the estimated fair values. The Company continues to evaluate its portfolio of properties, and, therefore, it is possible that impairments could be identified in future periods, and such amounts could be material.</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60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2"/>
          </w:tcPr>
          <w:p>
            <w:pPr>
              <w:jc w:val="right"/>
              <w:ind w:right="663"/>
              <w:spacing w:after="0"/>
              <w:rPr>
                <w:sz w:val="20"/>
                <w:szCs w:val="20"/>
                <w:color w:val="auto"/>
              </w:rPr>
            </w:pPr>
            <w:r>
              <w:rPr>
                <w:rFonts w:ascii="Arial" w:cs="Arial" w:eastAsia="Arial" w:hAnsi="Arial"/>
                <w:sz w:val="11"/>
                <w:szCs w:val="11"/>
                <w:color w:val="auto"/>
              </w:rPr>
              <w:t>Three months ended Jun. 30,</w:t>
            </w: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Borders>
              <w:top w:val="single" w:sz="8" w:color="929292"/>
            </w:tcBorders>
            <w:shd w:val="clear" w:color="auto" w:fill="929292"/>
          </w:tcPr>
          <w:p>
            <w:pPr>
              <w:spacing w:after="0"/>
              <w:rPr>
                <w:sz w:val="14"/>
                <w:szCs w:val="14"/>
                <w:color w:val="auto"/>
              </w:rPr>
            </w:pPr>
          </w:p>
        </w:tc>
        <w:tc>
          <w:tcPr>
            <w:tcW w:w="1740" w:type="dxa"/>
            <w:vAlign w:val="bottom"/>
            <w:tcBorders>
              <w:top w:val="single" w:sz="8" w:color="929292"/>
            </w:tcBorders>
            <w:gridSpan w:val="2"/>
            <w:shd w:val="clear" w:color="auto" w:fill="929292"/>
          </w:tcPr>
          <w:p>
            <w:pPr>
              <w:jc w:val="right"/>
              <w:ind w:right="703"/>
              <w:spacing w:after="0"/>
              <w:rPr>
                <w:sz w:val="20"/>
                <w:szCs w:val="20"/>
                <w:color w:val="auto"/>
              </w:rPr>
            </w:pPr>
            <w:r>
              <w:rPr>
                <w:rFonts w:ascii="Arial" w:cs="Arial" w:eastAsia="Arial" w:hAnsi="Arial"/>
                <w:sz w:val="11"/>
                <w:szCs w:val="11"/>
                <w:color w:val="FFFFFF"/>
              </w:rPr>
              <w:t>% of Net Revenues</w:t>
            </w:r>
          </w:p>
        </w:tc>
      </w:tr>
      <w:tr>
        <w:trPr>
          <w:trHeight w:val="165"/>
        </w:trPr>
        <w:tc>
          <w:tcPr>
            <w:tcW w:w="260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20" w:type="dxa"/>
            <w:vAlign w:val="bottom"/>
            <w:tcBorders>
              <w:bottom w:val="single" w:sz="8" w:color="929292"/>
            </w:tcBorders>
          </w:tcPr>
          <w:p>
            <w:pPr>
              <w:spacing w:after="0"/>
              <w:rPr>
                <w:sz w:val="14"/>
                <w:szCs w:val="14"/>
                <w:color w:val="auto"/>
              </w:rPr>
            </w:pPr>
          </w:p>
        </w:tc>
        <w:tc>
          <w:tcPr>
            <w:tcW w:w="1500" w:type="dxa"/>
            <w:vAlign w:val="bottom"/>
            <w:tcBorders>
              <w:bottom w:val="single" w:sz="8" w:color="929292"/>
            </w:tcBorders>
          </w:tcPr>
          <w:p>
            <w:pPr>
              <w:jc w:val="right"/>
              <w:ind w:right="943"/>
              <w:spacing w:after="0"/>
              <w:rPr>
                <w:sz w:val="20"/>
                <w:szCs w:val="20"/>
                <w:color w:val="auto"/>
              </w:rPr>
            </w:pPr>
            <w:r>
              <w:rPr>
                <w:rFonts w:ascii="Arial" w:cs="Arial" w:eastAsia="Arial" w:hAnsi="Arial"/>
                <w:sz w:val="11"/>
                <w:szCs w:val="11"/>
                <w:color w:val="auto"/>
              </w:rPr>
              <w:t>2022</w:t>
            </w: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4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8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 Change</w:t>
            </w:r>
          </w:p>
        </w:tc>
        <w:tc>
          <w:tcPr>
            <w:tcW w:w="760" w:type="dxa"/>
            <w:vAlign w:val="bottom"/>
            <w:tcBorders>
              <w:bottom w:val="single" w:sz="8" w:color="929292"/>
            </w:tcBorders>
            <w:shd w:val="clear" w:color="auto" w:fill="929292"/>
          </w:tcPr>
          <w:p>
            <w:pPr>
              <w:jc w:val="center"/>
              <w:ind w:left="423"/>
              <w:spacing w:after="0"/>
              <w:rPr>
                <w:sz w:val="20"/>
                <w:szCs w:val="20"/>
                <w:color w:val="auto"/>
              </w:rPr>
            </w:pPr>
            <w:r>
              <w:rPr>
                <w:rFonts w:ascii="Arial" w:cs="Arial" w:eastAsia="Arial" w:hAnsi="Arial"/>
                <w:sz w:val="11"/>
                <w:szCs w:val="11"/>
                <w:color w:val="FFFFFF"/>
                <w:w w:val="97"/>
              </w:rPr>
              <w:t>2022</w:t>
            </w:r>
          </w:p>
        </w:tc>
        <w:tc>
          <w:tcPr>
            <w:tcW w:w="480" w:type="dxa"/>
            <w:vAlign w:val="bottom"/>
            <w:tcBorders>
              <w:bottom w:val="single" w:sz="8" w:color="929292"/>
            </w:tcBorders>
            <w:shd w:val="clear" w:color="auto" w:fill="929292"/>
          </w:tcPr>
          <w:p>
            <w:pPr>
              <w:spacing w:after="0"/>
              <w:rPr>
                <w:sz w:val="14"/>
                <w:szCs w:val="14"/>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r>
      <w:tr>
        <w:trPr>
          <w:trHeight w:val="150"/>
        </w:trPr>
        <w:tc>
          <w:tcPr>
            <w:tcW w:w="2600" w:type="dxa"/>
            <w:vAlign w:val="bottom"/>
            <w:tcBorders>
              <w:left w:val="single" w:sz="8" w:color="929292"/>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ind w:left="92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11,935</w:t>
            </w:r>
          </w:p>
        </w:tc>
        <w:tc>
          <w:tcPr>
            <w:tcW w:w="3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43"/>
              <w:spacing w:after="0"/>
              <w:rPr>
                <w:sz w:val="20"/>
                <w:szCs w:val="20"/>
                <w:color w:val="auto"/>
              </w:rPr>
            </w:pPr>
            <w:r>
              <w:rPr>
                <w:rFonts w:ascii="Arial" w:cs="Arial" w:eastAsia="Arial" w:hAnsi="Arial"/>
                <w:sz w:val="11"/>
                <w:szCs w:val="11"/>
                <w:color w:val="auto"/>
              </w:rPr>
              <w:t>(11,935)</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(100.0)%</w:t>
            </w:r>
          </w:p>
        </w:tc>
        <w:tc>
          <w:tcPr>
            <w:tcW w:w="760" w:type="dxa"/>
            <w:vAlign w:val="bottom"/>
            <w:shd w:val="clear" w:color="auto" w:fill="929292"/>
          </w:tcPr>
          <w:p>
            <w:pPr>
              <w:jc w:val="center"/>
              <w:ind w:left="423"/>
              <w:spacing w:after="0"/>
              <w:rPr>
                <w:sz w:val="20"/>
                <w:szCs w:val="20"/>
                <w:color w:val="auto"/>
              </w:rPr>
            </w:pPr>
            <w:r>
              <w:rPr>
                <w:rFonts w:ascii="Arial" w:cs="Arial" w:eastAsia="Arial" w:hAnsi="Arial"/>
                <w:sz w:val="11"/>
                <w:szCs w:val="11"/>
                <w:color w:val="FFFFFF"/>
                <w:w w:val="96"/>
              </w:rPr>
              <w:t>—%</w:t>
            </w:r>
          </w:p>
        </w:tc>
        <w:tc>
          <w:tcPr>
            <w:tcW w:w="480" w:type="dxa"/>
            <w:vAlign w:val="bottom"/>
            <w:shd w:val="clear" w:color="auto" w:fill="929292"/>
          </w:tcPr>
          <w:p>
            <w:pPr>
              <w:spacing w:after="0"/>
              <w:rPr>
                <w:sz w:val="13"/>
                <w:szCs w:val="13"/>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6.1%</w:t>
            </w:r>
          </w:p>
        </w:tc>
      </w:tr>
      <w:tr>
        <w:trPr>
          <w:trHeight w:val="176"/>
        </w:trPr>
        <w:tc>
          <w:tcPr>
            <w:tcW w:w="2600" w:type="dxa"/>
            <w:vAlign w:val="bottom"/>
            <w:tcBorders>
              <w:left w:val="single" w:sz="8" w:color="929292"/>
            </w:tcBorders>
          </w:tcPr>
          <w:p>
            <w:pPr>
              <w:ind w:left="460"/>
              <w:spacing w:after="0"/>
              <w:rPr>
                <w:sz w:val="20"/>
                <w:szCs w:val="20"/>
                <w:color w:val="auto"/>
              </w:rPr>
            </w:pPr>
            <w:r>
              <w:rPr>
                <w:rFonts w:ascii="Arial" w:cs="Arial" w:eastAsia="Arial" w:hAnsi="Arial"/>
                <w:sz w:val="11"/>
                <w:szCs w:val="11"/>
                <w:b w:val="1"/>
                <w:bCs w:val="1"/>
                <w:color w:val="0A2299"/>
              </w:rPr>
              <w:t>Loss on extinguishment of debt</w:t>
            </w:r>
          </w:p>
        </w:tc>
        <w:tc>
          <w:tcPr>
            <w:tcW w:w="80" w:type="dxa"/>
            <w:vAlign w:val="bottom"/>
            <w:shd w:val="clear" w:color="auto" w:fill="929292"/>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60" w:type="dxa"/>
            <w:vAlign w:val="bottom"/>
            <w:shd w:val="clear" w:color="auto" w:fill="929292"/>
          </w:tcPr>
          <w:p>
            <w:pPr>
              <w:spacing w:after="0"/>
              <w:rPr>
                <w:sz w:val="15"/>
                <w:szCs w:val="15"/>
                <w:color w:val="auto"/>
              </w:rPr>
            </w:pPr>
          </w:p>
        </w:tc>
        <w:tc>
          <w:tcPr>
            <w:tcW w:w="480" w:type="dxa"/>
            <w:vAlign w:val="bottom"/>
            <w:shd w:val="clear" w:color="auto" w:fill="929292"/>
          </w:tcPr>
          <w:p>
            <w:pPr>
              <w:spacing w:after="0"/>
              <w:rPr>
                <w:sz w:val="15"/>
                <w:szCs w:val="15"/>
                <w:color w:val="auto"/>
              </w:rPr>
            </w:pPr>
          </w:p>
        </w:tc>
        <w:tc>
          <w:tcPr>
            <w:tcW w:w="1260" w:type="dxa"/>
            <w:vAlign w:val="bottom"/>
            <w:shd w:val="clear" w:color="auto" w:fill="929292"/>
          </w:tcPr>
          <w:p>
            <w:pPr>
              <w:spacing w:after="0"/>
              <w:rPr>
                <w:sz w:val="15"/>
                <w:szCs w:val="15"/>
                <w:color w:val="auto"/>
              </w:rPr>
            </w:pPr>
          </w:p>
        </w:tc>
      </w:tr>
      <w:tr>
        <w:trPr>
          <w:trHeight w:val="164"/>
        </w:trPr>
        <w:tc>
          <w:tcPr>
            <w:tcW w:w="260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2"/>
          </w:tcPr>
          <w:p>
            <w:pPr>
              <w:jc w:val="right"/>
              <w:ind w:right="743"/>
              <w:spacing w:after="0"/>
              <w:rPr>
                <w:sz w:val="20"/>
                <w:szCs w:val="20"/>
                <w:color w:val="auto"/>
              </w:rPr>
            </w:pPr>
            <w:r>
              <w:rPr>
                <w:rFonts w:ascii="Arial" w:cs="Arial" w:eastAsia="Arial" w:hAnsi="Arial"/>
                <w:sz w:val="11"/>
                <w:szCs w:val="11"/>
                <w:color w:val="auto"/>
              </w:rPr>
              <w:t>Six months ended Jun. 30,</w:t>
            </w: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shd w:val="clear" w:color="auto" w:fill="929292"/>
          </w:tcPr>
          <w:p>
            <w:pPr>
              <w:spacing w:after="0"/>
              <w:rPr>
                <w:sz w:val="14"/>
                <w:szCs w:val="14"/>
                <w:color w:val="auto"/>
              </w:rPr>
            </w:pPr>
          </w:p>
        </w:tc>
        <w:tc>
          <w:tcPr>
            <w:tcW w:w="1740" w:type="dxa"/>
            <w:vAlign w:val="bottom"/>
            <w:gridSpan w:val="2"/>
            <w:shd w:val="clear" w:color="auto" w:fill="929292"/>
          </w:tcPr>
          <w:p>
            <w:pPr>
              <w:jc w:val="right"/>
              <w:ind w:right="703"/>
              <w:spacing w:after="0"/>
              <w:rPr>
                <w:sz w:val="20"/>
                <w:szCs w:val="20"/>
                <w:color w:val="auto"/>
              </w:rPr>
            </w:pPr>
            <w:r>
              <w:rPr>
                <w:rFonts w:ascii="Arial" w:cs="Arial" w:eastAsia="Arial" w:hAnsi="Arial"/>
                <w:sz w:val="11"/>
                <w:szCs w:val="11"/>
                <w:color w:val="FFFFFF"/>
              </w:rPr>
              <w:t>% of Net Revenues</w:t>
            </w:r>
          </w:p>
        </w:tc>
      </w:tr>
      <w:tr>
        <w:trPr>
          <w:trHeight w:val="170"/>
        </w:trPr>
        <w:tc>
          <w:tcPr>
            <w:tcW w:w="260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20" w:type="dxa"/>
            <w:vAlign w:val="bottom"/>
            <w:tcBorders>
              <w:bottom w:val="single" w:sz="8" w:color="929292"/>
            </w:tcBorders>
          </w:tcPr>
          <w:p>
            <w:pPr>
              <w:spacing w:after="0"/>
              <w:rPr>
                <w:sz w:val="14"/>
                <w:szCs w:val="14"/>
                <w:color w:val="auto"/>
              </w:rPr>
            </w:pPr>
          </w:p>
        </w:tc>
        <w:tc>
          <w:tcPr>
            <w:tcW w:w="1500" w:type="dxa"/>
            <w:vAlign w:val="bottom"/>
            <w:tcBorders>
              <w:bottom w:val="single" w:sz="8" w:color="929292"/>
            </w:tcBorders>
          </w:tcPr>
          <w:p>
            <w:pPr>
              <w:jc w:val="right"/>
              <w:ind w:right="943"/>
              <w:spacing w:after="0"/>
              <w:rPr>
                <w:sz w:val="20"/>
                <w:szCs w:val="20"/>
                <w:color w:val="auto"/>
              </w:rPr>
            </w:pPr>
            <w:r>
              <w:rPr>
                <w:rFonts w:ascii="Arial" w:cs="Arial" w:eastAsia="Arial" w:hAnsi="Arial"/>
                <w:sz w:val="11"/>
                <w:szCs w:val="11"/>
                <w:color w:val="auto"/>
              </w:rPr>
              <w:t>2022</w:t>
            </w: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4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8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 Change</w:t>
            </w:r>
          </w:p>
        </w:tc>
        <w:tc>
          <w:tcPr>
            <w:tcW w:w="760" w:type="dxa"/>
            <w:vAlign w:val="bottom"/>
            <w:tcBorders>
              <w:bottom w:val="single" w:sz="8" w:color="929292"/>
            </w:tcBorders>
            <w:shd w:val="clear" w:color="auto" w:fill="929292"/>
          </w:tcPr>
          <w:p>
            <w:pPr>
              <w:jc w:val="center"/>
              <w:ind w:left="423"/>
              <w:spacing w:after="0"/>
              <w:rPr>
                <w:sz w:val="20"/>
                <w:szCs w:val="20"/>
                <w:color w:val="auto"/>
              </w:rPr>
            </w:pPr>
            <w:r>
              <w:rPr>
                <w:rFonts w:ascii="Arial" w:cs="Arial" w:eastAsia="Arial" w:hAnsi="Arial"/>
                <w:sz w:val="11"/>
                <w:szCs w:val="11"/>
                <w:color w:val="FFFFFF"/>
                <w:w w:val="97"/>
              </w:rPr>
              <w:t>2022</w:t>
            </w:r>
          </w:p>
        </w:tc>
        <w:tc>
          <w:tcPr>
            <w:tcW w:w="480" w:type="dxa"/>
            <w:vAlign w:val="bottom"/>
            <w:tcBorders>
              <w:bottom w:val="single" w:sz="8" w:color="929292"/>
            </w:tcBorders>
            <w:shd w:val="clear" w:color="auto" w:fill="929292"/>
          </w:tcPr>
          <w:p>
            <w:pPr>
              <w:spacing w:after="0"/>
              <w:rPr>
                <w:sz w:val="14"/>
                <w:szCs w:val="14"/>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r>
      <w:tr>
        <w:trPr>
          <w:trHeight w:val="153"/>
        </w:trPr>
        <w:tc>
          <w:tcPr>
            <w:tcW w:w="260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500" w:type="dxa"/>
            <w:vAlign w:val="bottom"/>
          </w:tcPr>
          <w:p>
            <w:pPr>
              <w:ind w:left="920"/>
              <w:spacing w:after="0"/>
              <w:rPr>
                <w:sz w:val="20"/>
                <w:szCs w:val="20"/>
                <w:color w:val="auto"/>
              </w:rPr>
            </w:pPr>
            <w:r>
              <w:rPr>
                <w:rFonts w:ascii="Arial" w:cs="Arial" w:eastAsia="Arial" w:hAnsi="Arial"/>
                <w:sz w:val="11"/>
                <w:szCs w:val="11"/>
                <w:color w:val="auto"/>
              </w:rPr>
              <w:t>—   $</w:t>
            </w: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11,935</w:t>
            </w:r>
          </w:p>
        </w:tc>
        <w:tc>
          <w:tcPr>
            <w:tcW w:w="3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43"/>
              <w:spacing w:after="0"/>
              <w:rPr>
                <w:sz w:val="20"/>
                <w:szCs w:val="20"/>
                <w:color w:val="auto"/>
              </w:rPr>
            </w:pPr>
            <w:r>
              <w:rPr>
                <w:rFonts w:ascii="Arial" w:cs="Arial" w:eastAsia="Arial" w:hAnsi="Arial"/>
                <w:sz w:val="11"/>
                <w:szCs w:val="11"/>
                <w:color w:val="auto"/>
              </w:rPr>
              <w:t>(11,935)</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(100.0)%</w:t>
            </w:r>
          </w:p>
        </w:tc>
        <w:tc>
          <w:tcPr>
            <w:tcW w:w="760" w:type="dxa"/>
            <w:vAlign w:val="bottom"/>
            <w:shd w:val="clear" w:color="auto" w:fill="929292"/>
          </w:tcPr>
          <w:p>
            <w:pPr>
              <w:jc w:val="center"/>
              <w:ind w:left="423"/>
              <w:spacing w:after="0"/>
              <w:rPr>
                <w:sz w:val="20"/>
                <w:szCs w:val="20"/>
                <w:color w:val="auto"/>
              </w:rPr>
            </w:pPr>
            <w:r>
              <w:rPr>
                <w:rFonts w:ascii="Arial" w:cs="Arial" w:eastAsia="Arial" w:hAnsi="Arial"/>
                <w:sz w:val="11"/>
                <w:szCs w:val="11"/>
                <w:color w:val="FFFFFF"/>
                <w:w w:val="96"/>
              </w:rPr>
              <w:t>—%</w:t>
            </w:r>
          </w:p>
        </w:tc>
        <w:tc>
          <w:tcPr>
            <w:tcW w:w="480" w:type="dxa"/>
            <w:vAlign w:val="bottom"/>
            <w:shd w:val="clear" w:color="auto" w:fill="929292"/>
          </w:tcPr>
          <w:p>
            <w:pPr>
              <w:spacing w:after="0"/>
              <w:rPr>
                <w:sz w:val="13"/>
                <w:szCs w:val="13"/>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5561330</wp:posOffset>
            </wp:positionH>
            <wp:positionV relativeFrom="paragraph">
              <wp:posOffset>-113665</wp:posOffset>
            </wp:positionV>
            <wp:extent cx="159004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90040" cy="698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-544830</wp:posOffset>
            </wp:positionV>
            <wp:extent cx="159004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90040" cy="698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Loss on extinguishment of debt was $$11.9 million for the three and six months ended June 30, 2021 and relates to the expense recognized for the extinguishment of the Initial Term Loan Facility.</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c>
          <w:tcPr>
            <w:tcW w:w="760" w:type="dxa"/>
            <w:vAlign w:val="bottom"/>
            <w:tcBorders>
              <w:top w:val="single" w:sz="8" w:color="929292"/>
            </w:tcBorders>
            <w:shd w:val="clear" w:color="auto" w:fill="929292"/>
          </w:tcPr>
          <w:p>
            <w:pPr>
              <w:spacing w:after="0"/>
              <w:rPr>
                <w:sz w:val="14"/>
                <w:szCs w:val="14"/>
                <w:color w:val="auto"/>
              </w:rPr>
            </w:pPr>
          </w:p>
        </w:tc>
      </w:tr>
      <w:tr>
        <w:trPr>
          <w:trHeight w:val="165"/>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500" w:type="dxa"/>
            <w:vAlign w:val="bottom"/>
            <w:tcBorders>
              <w:bottom w:val="single" w:sz="8" w:color="929292"/>
            </w:tcBorders>
            <w:shd w:val="clear" w:color="auto" w:fill="929292"/>
          </w:tcPr>
          <w:p>
            <w:pPr>
              <w:spacing w:after="0"/>
              <w:rPr>
                <w:sz w:val="14"/>
                <w:szCs w:val="14"/>
                <w:color w:val="auto"/>
              </w:rPr>
            </w:pPr>
          </w:p>
        </w:tc>
        <w:tc>
          <w:tcPr>
            <w:tcW w:w="7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w w:val="97"/>
              </w:rPr>
              <w:t>2021</w:t>
            </w:r>
          </w:p>
        </w:tc>
      </w:tr>
      <w:tr>
        <w:trPr>
          <w:trHeight w:val="150"/>
        </w:trPr>
        <w:tc>
          <w:tcPr>
            <w:tcW w:w="2580" w:type="dxa"/>
            <w:vAlign w:val="bottom"/>
            <w:tcBorders>
              <w:left w:val="single" w:sz="8" w:color="929292"/>
            </w:tcBorders>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12,724</w:t>
            </w:r>
          </w:p>
        </w:tc>
        <w:tc>
          <w:tcPr>
            <w:tcW w:w="400" w:type="dxa"/>
            <w:vAlign w:val="bottom"/>
          </w:tcPr>
          <w:p>
            <w:pPr>
              <w:spacing w:after="0"/>
              <w:rPr>
                <w:sz w:val="13"/>
                <w:szCs w:val="13"/>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8,277</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63"/>
              <w:spacing w:after="0"/>
              <w:rPr>
                <w:sz w:val="20"/>
                <w:szCs w:val="20"/>
                <w:color w:val="auto"/>
              </w:rPr>
            </w:pPr>
            <w:r>
              <w:rPr>
                <w:rFonts w:ascii="Arial" w:cs="Arial" w:eastAsia="Arial" w:hAnsi="Arial"/>
                <w:sz w:val="11"/>
                <w:szCs w:val="11"/>
                <w:color w:val="auto"/>
              </w:rPr>
              <w:t>4,447</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53.7 %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8.0%</w:t>
            </w:r>
          </w:p>
        </w:tc>
        <w:tc>
          <w:tcPr>
            <w:tcW w:w="500" w:type="dxa"/>
            <w:vAlign w:val="bottom"/>
            <w:shd w:val="clear" w:color="auto" w:fill="929292"/>
          </w:tcPr>
          <w:p>
            <w:pPr>
              <w:spacing w:after="0"/>
              <w:rPr>
                <w:sz w:val="13"/>
                <w:szCs w:val="13"/>
                <w:color w:val="auto"/>
              </w:rPr>
            </w:pPr>
          </w:p>
        </w:tc>
        <w:tc>
          <w:tcPr>
            <w:tcW w:w="7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w w:val="95"/>
              </w:rPr>
              <w:t>4.2%</w:t>
            </w:r>
          </w:p>
        </w:tc>
      </w:tr>
      <w:tr>
        <w:trPr>
          <w:trHeight w:val="176"/>
        </w:trPr>
        <w:tc>
          <w:tcPr>
            <w:tcW w:w="2580" w:type="dxa"/>
            <w:vAlign w:val="bottom"/>
            <w:tcBorders>
              <w:left w:val="single" w:sz="8" w:color="929292"/>
            </w:tcBorders>
          </w:tcPr>
          <w:p>
            <w:pPr>
              <w:ind w:left="860"/>
              <w:spacing w:after="0"/>
              <w:rPr>
                <w:sz w:val="20"/>
                <w:szCs w:val="20"/>
                <w:color w:val="auto"/>
              </w:rPr>
            </w:pPr>
            <w:r>
              <w:rPr>
                <w:rFonts w:ascii="Arial" w:cs="Arial" w:eastAsia="Arial" w:hAnsi="Arial"/>
                <w:sz w:val="11"/>
                <w:szCs w:val="11"/>
                <w:b w:val="1"/>
                <w:bCs w:val="1"/>
                <w:color w:val="0A2299"/>
              </w:rPr>
              <w:t>Interest expense</w:t>
            </w:r>
          </w:p>
        </w:tc>
        <w:tc>
          <w:tcPr>
            <w:tcW w:w="80" w:type="dxa"/>
            <w:vAlign w:val="bottom"/>
            <w:shd w:val="clear" w:color="auto" w:fill="929292"/>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shd w:val="clear" w:color="auto" w:fill="929292"/>
          </w:tcPr>
          <w:p>
            <w:pPr>
              <w:spacing w:after="0"/>
              <w:rPr>
                <w:sz w:val="15"/>
                <w:szCs w:val="15"/>
                <w:color w:val="auto"/>
              </w:rPr>
            </w:pPr>
          </w:p>
        </w:tc>
        <w:tc>
          <w:tcPr>
            <w:tcW w:w="500" w:type="dxa"/>
            <w:vAlign w:val="bottom"/>
            <w:shd w:val="clear" w:color="auto" w:fill="929292"/>
          </w:tcPr>
          <w:p>
            <w:pPr>
              <w:spacing w:after="0"/>
              <w:rPr>
                <w:sz w:val="15"/>
                <w:szCs w:val="15"/>
                <w:color w:val="auto"/>
              </w:rPr>
            </w:pPr>
          </w:p>
        </w:tc>
        <w:tc>
          <w:tcPr>
            <w:tcW w:w="760" w:type="dxa"/>
            <w:vAlign w:val="bottom"/>
            <w:shd w:val="clear" w:color="auto" w:fill="929292"/>
          </w:tcPr>
          <w:p>
            <w:pPr>
              <w:spacing w:after="0"/>
              <w:rPr>
                <w:sz w:val="15"/>
                <w:szCs w:val="15"/>
                <w:color w:val="auto"/>
              </w:rPr>
            </w:pPr>
          </w:p>
        </w:tc>
      </w:tr>
      <w:tr>
        <w:trPr>
          <w:trHeight w:val="164"/>
        </w:trPr>
        <w:tc>
          <w:tcPr>
            <w:tcW w:w="258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743"/>
              <w:spacing w:after="0"/>
              <w:rPr>
                <w:sz w:val="20"/>
                <w:szCs w:val="20"/>
                <w:color w:val="auto"/>
              </w:rPr>
            </w:pPr>
            <w:r>
              <w:rPr>
                <w:rFonts w:ascii="Arial" w:cs="Arial" w:eastAsia="Arial" w:hAnsi="Arial"/>
                <w:sz w:val="11"/>
                <w:szCs w:val="11"/>
                <w:color w:val="auto"/>
              </w:rPr>
              <w:t>Six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c>
          <w:tcPr>
            <w:tcW w:w="760" w:type="dxa"/>
            <w:vAlign w:val="bottom"/>
            <w:shd w:val="clear" w:color="auto" w:fill="929292"/>
          </w:tcPr>
          <w:p>
            <w:pPr>
              <w:spacing w:after="0"/>
              <w:rPr>
                <w:sz w:val="14"/>
                <w:szCs w:val="14"/>
                <w:color w:val="auto"/>
              </w:rPr>
            </w:pPr>
          </w:p>
        </w:tc>
      </w:tr>
      <w:tr>
        <w:trPr>
          <w:trHeight w:val="170"/>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500" w:type="dxa"/>
            <w:vAlign w:val="bottom"/>
            <w:tcBorders>
              <w:bottom w:val="single" w:sz="8" w:color="929292"/>
            </w:tcBorders>
            <w:shd w:val="clear" w:color="auto" w:fill="929292"/>
          </w:tcPr>
          <w:p>
            <w:pPr>
              <w:spacing w:after="0"/>
              <w:rPr>
                <w:sz w:val="14"/>
                <w:szCs w:val="14"/>
                <w:color w:val="auto"/>
              </w:rPr>
            </w:pPr>
          </w:p>
        </w:tc>
        <w:tc>
          <w:tcPr>
            <w:tcW w:w="7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w w:val="97"/>
              </w:rPr>
              <w:t>2021</w:t>
            </w:r>
          </w:p>
        </w:tc>
      </w:tr>
      <w:tr>
        <w:trPr>
          <w:trHeight w:val="153"/>
        </w:trPr>
        <w:tc>
          <w:tcPr>
            <w:tcW w:w="258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24,122</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16,965</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63"/>
              <w:spacing w:after="0"/>
              <w:rPr>
                <w:sz w:val="20"/>
                <w:szCs w:val="20"/>
                <w:color w:val="auto"/>
              </w:rPr>
            </w:pPr>
            <w:r>
              <w:rPr>
                <w:rFonts w:ascii="Arial" w:cs="Arial" w:eastAsia="Arial" w:hAnsi="Arial"/>
                <w:sz w:val="11"/>
                <w:szCs w:val="11"/>
                <w:color w:val="auto"/>
              </w:rPr>
              <w:t>7,157</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42.2 %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10.3%</w:t>
            </w:r>
          </w:p>
        </w:tc>
        <w:tc>
          <w:tcPr>
            <w:tcW w:w="500" w:type="dxa"/>
            <w:vAlign w:val="bottom"/>
            <w:shd w:val="clear" w:color="auto" w:fill="929292"/>
          </w:tcPr>
          <w:p>
            <w:pPr>
              <w:spacing w:after="0"/>
              <w:rPr>
                <w:sz w:val="13"/>
                <w:szCs w:val="13"/>
                <w:color w:val="auto"/>
              </w:rPr>
            </w:pPr>
          </w:p>
        </w:tc>
        <w:tc>
          <w:tcPr>
            <w:tcW w:w="7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w w:val="95"/>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97025" cy="698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-544830</wp:posOffset>
            </wp:positionV>
            <wp:extent cx="159702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14" w:lineRule="exact"/>
        <w:rPr>
          <w:sz w:val="20"/>
          <w:szCs w:val="20"/>
          <w:color w:val="auto"/>
        </w:rPr>
      </w:pPr>
    </w:p>
    <w:p>
      <w:pPr>
        <w:jc w:val="both"/>
        <w:ind w:right="40"/>
        <w:spacing w:after="0" w:line="266" w:lineRule="auto"/>
        <w:rPr>
          <w:sz w:val="20"/>
          <w:szCs w:val="20"/>
          <w:color w:val="auto"/>
        </w:rPr>
      </w:pPr>
      <w:r>
        <w:rPr>
          <w:rFonts w:ascii="Arial" w:cs="Arial" w:eastAsia="Arial" w:hAnsi="Arial"/>
          <w:sz w:val="13"/>
          <w:szCs w:val="13"/>
          <w:color w:val="auto"/>
        </w:rPr>
        <w:t>The increases for both the three and six months ended June 30, 2022 compared to the prior year periods were primarily attributable to additional debt outstanding on our Credit Facilities and increased interest rates.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4" w:lineRule="exact"/>
        <w:rPr>
          <w:sz w:val="20"/>
          <w:szCs w:val="20"/>
          <w:color w:val="auto"/>
        </w:rPr>
      </w:pPr>
    </w:p>
    <w:p>
      <w:pPr>
        <w:ind w:right="120"/>
        <w:spacing w:after="0" w:line="292" w:lineRule="auto"/>
        <w:rPr>
          <w:sz w:val="20"/>
          <w:szCs w:val="20"/>
          <w:color w:val="auto"/>
        </w:rPr>
      </w:pPr>
      <w:r>
        <w:rPr>
          <w:rFonts w:ascii="Arial" w:cs="Arial" w:eastAsia="Arial" w:hAnsi="Arial"/>
          <w:sz w:val="12"/>
          <w:szCs w:val="12"/>
          <w:color w:val="auto"/>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(benefit) expense and depreciation and amortization expense, or EBITDA; Adjusted EBITDA and Adjusted EBITDA margin. Adjusted EBITDA is the primary financial performance measure used by management to evaluate its business and monitor its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represents EBITDA as further adjusted for certain items summarized in the table below. Adjusted EBITDA margin represents Adjusted EBITDA divided by net revenues.</w:t>
      </w:r>
    </w:p>
    <w:p>
      <w:pPr>
        <w:spacing w:after="0" w:line="179" w:lineRule="exact"/>
        <w:rPr>
          <w:sz w:val="20"/>
          <w:szCs w:val="20"/>
          <w:color w:val="auto"/>
        </w:rPr>
      </w:pPr>
    </w:p>
    <w:p>
      <w:pPr>
        <w:ind w:right="120"/>
        <w:spacing w:after="0" w:line="272" w:lineRule="auto"/>
        <w:rPr>
          <w:sz w:val="20"/>
          <w:szCs w:val="20"/>
          <w:color w:val="auto"/>
        </w:rPr>
      </w:pPr>
      <w:r>
        <w:rPr>
          <w:rFonts w:ascii="Arial" w:cs="Arial" w:eastAsia="Arial" w:hAnsi="Arial"/>
          <w:sz w:val="12"/>
          <w:szCs w:val="12"/>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44"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The non-GAAP financial measures are not meant to be considered as indicators of performance in isolation from or as a substitute for net income (loss) prepared in accordance with GAAP, and should be read only in conjunction with financial</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32" w:name="page33"/>
    <w:bookmarkEnd w:id="32"/>
    <w:p>
      <w:pPr>
        <w:ind w:right="240"/>
        <w:spacing w:after="0" w:line="261" w:lineRule="auto"/>
        <w:rPr>
          <w:sz w:val="20"/>
          <w:szCs w:val="20"/>
          <w:color w:val="auto"/>
        </w:rPr>
      </w:pPr>
      <w:r>
        <w:rPr>
          <w:rFonts w:ascii="Arial" w:cs="Arial" w:eastAsia="Arial" w:hAnsi="Arial"/>
          <w:sz w:val="13"/>
          <w:szCs w:val="13"/>
          <w:color w:val="auto"/>
        </w:rPr>
        <w:t>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reconciliations of GAAP net income (loss) to EBITDA and Adjusted EBITDA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80" w:type="dxa"/>
            <w:vAlign w:val="bottom"/>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440" w:type="dxa"/>
            <w:vAlign w:val="bottom"/>
            <w:gridSpan w:val="4"/>
          </w:tcPr>
          <w:p>
            <w:pPr>
              <w:jc w:val="right"/>
              <w:ind w:right="180"/>
              <w:spacing w:after="0"/>
              <w:rPr>
                <w:sz w:val="20"/>
                <w:szCs w:val="20"/>
                <w:color w:val="auto"/>
              </w:rPr>
            </w:pPr>
            <w:r>
              <w:rPr>
                <w:rFonts w:ascii="Arial" w:cs="Arial" w:eastAsia="Arial" w:hAnsi="Arial"/>
                <w:sz w:val="11"/>
                <w:szCs w:val="11"/>
                <w:color w:val="auto"/>
              </w:rPr>
              <w:t>Three months ended Jun. 30,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803"/>
              <w:spacing w:after="0"/>
              <w:rPr>
                <w:sz w:val="20"/>
                <w:szCs w:val="20"/>
                <w:color w:val="auto"/>
              </w:rPr>
            </w:pPr>
            <w:r>
              <w:rPr>
                <w:rFonts w:ascii="Arial" w:cs="Arial" w:eastAsia="Arial" w:hAnsi="Arial"/>
                <w:sz w:val="11"/>
                <w:szCs w:val="11"/>
                <w:color w:val="auto"/>
              </w:rPr>
              <w:t>Six months ended Jun. 30,</w:t>
            </w:r>
          </w:p>
        </w:tc>
        <w:tc>
          <w:tcPr>
            <w:tcW w:w="0" w:type="dxa"/>
            <w:vAlign w:val="bottom"/>
          </w:tcPr>
          <w:p>
            <w:pPr>
              <w:spacing w:after="0"/>
              <w:rPr>
                <w:sz w:val="1"/>
                <w:szCs w:val="1"/>
                <w:color w:val="auto"/>
              </w:rPr>
            </w:pPr>
          </w:p>
        </w:tc>
      </w:tr>
      <w:tr>
        <w:trPr>
          <w:trHeight w:val="152"/>
        </w:trPr>
        <w:tc>
          <w:tcPr>
            <w:tcW w:w="468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Non-GAAP Financial Measures</w:t>
            </w:r>
          </w:p>
        </w:tc>
        <w:tc>
          <w:tcPr>
            <w:tcW w:w="80" w:type="dxa"/>
            <w:vAlign w:val="bottom"/>
            <w:tcBorders>
              <w:bottom w:val="single" w:sz="8" w:color="929292"/>
            </w:tcBorders>
            <w:shd w:val="clear" w:color="auto" w:fill="929292"/>
          </w:tcPr>
          <w:p>
            <w:pPr>
              <w:spacing w:after="0"/>
              <w:rPr>
                <w:sz w:val="13"/>
                <w:szCs w:val="13"/>
                <w:color w:val="auto"/>
              </w:rPr>
            </w:pPr>
          </w:p>
        </w:tc>
        <w:tc>
          <w:tcPr>
            <w:tcW w:w="8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2022</w:t>
            </w:r>
          </w:p>
        </w:tc>
        <w:tc>
          <w:tcPr>
            <w:tcW w:w="600" w:type="dxa"/>
            <w:vAlign w:val="bottom"/>
            <w:tcBorders>
              <w:bottom w:val="single" w:sz="8" w:color="929292"/>
            </w:tcBorders>
          </w:tcPr>
          <w:p>
            <w:pPr>
              <w:spacing w:after="0"/>
              <w:rPr>
                <w:sz w:val="13"/>
                <w:szCs w:val="13"/>
                <w:color w:val="auto"/>
              </w:rPr>
            </w:pPr>
          </w:p>
        </w:tc>
        <w:tc>
          <w:tcPr>
            <w:tcW w:w="960" w:type="dxa"/>
            <w:vAlign w:val="bottom"/>
            <w:tcBorders>
              <w:bottom w:val="single" w:sz="8" w:color="929292"/>
            </w:tcBorders>
            <w:gridSpan w:val="2"/>
          </w:tcPr>
          <w:p>
            <w:pPr>
              <w:jc w:val="right"/>
              <w:ind w:right="20"/>
              <w:spacing w:after="0"/>
              <w:rPr>
                <w:sz w:val="20"/>
                <w:szCs w:val="20"/>
                <w:color w:val="auto"/>
              </w:rPr>
            </w:pPr>
            <w:r>
              <w:rPr>
                <w:rFonts w:ascii="Arial" w:cs="Arial" w:eastAsia="Arial" w:hAnsi="Arial"/>
                <w:sz w:val="11"/>
                <w:szCs w:val="11"/>
                <w:color w:val="auto"/>
              </w:rPr>
              <w:t>2021</w:t>
            </w:r>
          </w:p>
        </w:tc>
        <w:tc>
          <w:tcPr>
            <w:tcW w:w="600" w:type="dxa"/>
            <w:vAlign w:val="bottom"/>
            <w:tcBorders>
              <w:bottom w:val="single" w:sz="8" w:color="929292"/>
            </w:tcBorders>
          </w:tcPr>
          <w:p>
            <w:pPr>
              <w:spacing w:after="0"/>
              <w:rPr>
                <w:sz w:val="13"/>
                <w:szCs w:val="13"/>
                <w:color w:val="auto"/>
              </w:rPr>
            </w:pPr>
          </w:p>
        </w:tc>
        <w:tc>
          <w:tcPr>
            <w:tcW w:w="80" w:type="dxa"/>
            <w:vAlign w:val="bottom"/>
            <w:tcBorders>
              <w:bottom w:val="single" w:sz="8" w:color="929292"/>
            </w:tcBorders>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4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929292"/>
            </w:tcBorders>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14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153"/>
        </w:trPr>
        <w:tc>
          <w:tcPr>
            <w:tcW w:w="4680" w:type="dxa"/>
            <w:vAlign w:val="bottom"/>
          </w:tcPr>
          <w:p>
            <w:pPr>
              <w:ind w:left="20"/>
              <w:spacing w:after="0"/>
              <w:rPr>
                <w:sz w:val="20"/>
                <w:szCs w:val="20"/>
                <w:color w:val="auto"/>
              </w:rPr>
            </w:pPr>
            <w:r>
              <w:rPr>
                <w:rFonts w:ascii="Arial" w:cs="Arial" w:eastAsia="Arial" w:hAnsi="Arial"/>
                <w:sz w:val="11"/>
                <w:szCs w:val="11"/>
                <w:b w:val="1"/>
                <w:bCs w:val="1"/>
                <w:color w:val="auto"/>
              </w:rPr>
              <w:t>Net revenues</w:t>
            </w:r>
          </w:p>
        </w:tc>
        <w:tc>
          <w:tcPr>
            <w:tcW w:w="80" w:type="dxa"/>
            <w:vAlign w:val="bottom"/>
            <w:tcBorders>
              <w:bottom w:val="single" w:sz="8" w:color="929292"/>
            </w:tcBorders>
            <w:shd w:val="clear" w:color="auto" w:fill="929292"/>
          </w:tcPr>
          <w:p>
            <w:pPr>
              <w:spacing w:after="0"/>
              <w:rPr>
                <w:sz w:val="13"/>
                <w:szCs w:val="13"/>
                <w:color w:val="auto"/>
              </w:rPr>
            </w:pPr>
          </w:p>
        </w:tc>
        <w:tc>
          <w:tcPr>
            <w:tcW w:w="880" w:type="dxa"/>
            <w:vAlign w:val="bottom"/>
            <w:tcBorders>
              <w:bottom w:val="single" w:sz="8" w:color="929292"/>
            </w:tcBorders>
          </w:tcPr>
          <w:p>
            <w:pPr>
              <w:jc w:val="right"/>
              <w:ind w:right="743"/>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b w:val="1"/>
                <w:bCs w:val="1"/>
                <w:color w:val="auto"/>
              </w:rPr>
              <w:t>158,654</w:t>
            </w:r>
          </w:p>
        </w:tc>
        <w:tc>
          <w:tcPr>
            <w:tcW w:w="960" w:type="dxa"/>
            <w:vAlign w:val="bottom"/>
            <w:tcBorders>
              <w:bottom w:val="single" w:sz="8" w:color="929292"/>
            </w:tcBorders>
            <w:gridSpan w:val="2"/>
          </w:tcPr>
          <w:p>
            <w:pPr>
              <w:jc w:val="right"/>
              <w:ind w:right="800"/>
              <w:spacing w:after="0"/>
              <w:rPr>
                <w:sz w:val="20"/>
                <w:szCs w:val="20"/>
                <w:color w:val="auto"/>
              </w:rPr>
            </w:pPr>
            <w:r>
              <w:rPr>
                <w:rFonts w:ascii="Arial" w:cs="Arial" w:eastAsia="Arial" w:hAnsi="Arial"/>
                <w:sz w:val="11"/>
                <w:szCs w:val="11"/>
                <w:b w:val="1"/>
                <w:bCs w:val="1"/>
                <w:color w:val="auto"/>
              </w:rPr>
              <w:t>$</w:t>
            </w:r>
          </w:p>
        </w:tc>
        <w:tc>
          <w:tcPr>
            <w:tcW w:w="6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b w:val="1"/>
                <w:bCs w:val="1"/>
                <w:color w:val="auto"/>
              </w:rPr>
              <w:t>196,902</w:t>
            </w:r>
          </w:p>
        </w:tc>
        <w:tc>
          <w:tcPr>
            <w:tcW w:w="420" w:type="dxa"/>
            <w:vAlign w:val="bottom"/>
            <w:tcBorders>
              <w:bottom w:val="single" w:sz="8" w:color="929292"/>
            </w:tcBorders>
            <w:gridSpan w:val="2"/>
          </w:tcPr>
          <w:p>
            <w:pPr>
              <w:jc w:val="right"/>
              <w:ind w:right="260"/>
              <w:spacing w:after="0"/>
              <w:rPr>
                <w:sz w:val="20"/>
                <w:szCs w:val="20"/>
                <w:color w:val="auto"/>
              </w:rPr>
            </w:pPr>
            <w:r>
              <w:rPr>
                <w:rFonts w:ascii="Arial" w:cs="Arial" w:eastAsia="Arial" w:hAnsi="Arial"/>
                <w:sz w:val="11"/>
                <w:szCs w:val="11"/>
                <w:b w:val="1"/>
                <w:bCs w:val="1"/>
                <w:color w:val="auto"/>
              </w:rPr>
              <w:t>$</w:t>
            </w:r>
          </w:p>
        </w:tc>
        <w:tc>
          <w:tcPr>
            <w:tcW w:w="114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429,247</w:t>
            </w:r>
          </w:p>
        </w:tc>
        <w:tc>
          <w:tcPr>
            <w:tcW w:w="440" w:type="dxa"/>
            <w:vAlign w:val="bottom"/>
            <w:tcBorders>
              <w:bottom w:val="single" w:sz="8" w:color="929292"/>
            </w:tcBorders>
            <w:gridSpan w:val="2"/>
          </w:tcPr>
          <w:p>
            <w:pPr>
              <w:jc w:val="right"/>
              <w:ind w:right="280"/>
              <w:spacing w:after="0"/>
              <w:rPr>
                <w:sz w:val="20"/>
                <w:szCs w:val="20"/>
                <w:color w:val="auto"/>
              </w:rPr>
            </w:pPr>
            <w:r>
              <w:rPr>
                <w:rFonts w:ascii="Arial" w:cs="Arial" w:eastAsia="Arial" w:hAnsi="Arial"/>
                <w:sz w:val="11"/>
                <w:szCs w:val="11"/>
                <w:b w:val="1"/>
                <w:bCs w:val="1"/>
                <w:color w:val="auto"/>
              </w:rPr>
              <w:t>$</w:t>
            </w:r>
          </w:p>
        </w:tc>
        <w:tc>
          <w:tcPr>
            <w:tcW w:w="114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b w:val="1"/>
                <w:bCs w:val="1"/>
                <w:color w:val="auto"/>
              </w:rPr>
              <w:t>401,081</w:t>
            </w:r>
          </w:p>
        </w:tc>
        <w:tc>
          <w:tcPr>
            <w:tcW w:w="0" w:type="dxa"/>
            <w:vAlign w:val="bottom"/>
          </w:tcPr>
          <w:p>
            <w:pPr>
              <w:spacing w:after="0"/>
              <w:rPr>
                <w:sz w:val="1"/>
                <w:szCs w:val="1"/>
                <w:color w:val="auto"/>
              </w:rPr>
            </w:pPr>
          </w:p>
        </w:tc>
      </w:tr>
      <w:tr>
        <w:trPr>
          <w:trHeight w:val="144"/>
        </w:trPr>
        <w:tc>
          <w:tcPr>
            <w:tcW w:w="468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80" w:type="dxa"/>
            <w:vAlign w:val="bottom"/>
            <w:shd w:val="clear" w:color="auto" w:fill="929292"/>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w w:val="97"/>
              </w:rPr>
              <w:t>(113,752)</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(39,221)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(150,993)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(46,481)</w:t>
            </w:r>
          </w:p>
        </w:tc>
        <w:tc>
          <w:tcPr>
            <w:tcW w:w="0" w:type="dxa"/>
            <w:vAlign w:val="bottom"/>
          </w:tcPr>
          <w:p>
            <w:pPr>
              <w:spacing w:after="0"/>
              <w:rPr>
                <w:sz w:val="1"/>
                <w:szCs w:val="1"/>
                <w:color w:val="auto"/>
              </w:rPr>
            </w:pPr>
          </w:p>
        </w:tc>
      </w:tr>
      <w:tr>
        <w:trPr>
          <w:trHeight w:val="159"/>
        </w:trPr>
        <w:tc>
          <w:tcPr>
            <w:tcW w:w="46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80" w:type="dxa"/>
            <w:vAlign w:val="bottom"/>
            <w:shd w:val="clear" w:color="auto" w:fill="929292"/>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12,724</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8,277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24,122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03"/>
              <w:spacing w:after="0"/>
              <w:rPr>
                <w:sz w:val="20"/>
                <w:szCs w:val="20"/>
                <w:color w:val="auto"/>
              </w:rPr>
            </w:pPr>
            <w:r>
              <w:rPr>
                <w:rFonts w:ascii="Arial" w:cs="Arial" w:eastAsia="Arial" w:hAnsi="Arial"/>
                <w:sz w:val="11"/>
                <w:szCs w:val="11"/>
                <w:color w:val="auto"/>
              </w:rPr>
              <w:t>16,965</w:t>
            </w:r>
          </w:p>
        </w:tc>
        <w:tc>
          <w:tcPr>
            <w:tcW w:w="0" w:type="dxa"/>
            <w:vAlign w:val="bottom"/>
          </w:tcPr>
          <w:p>
            <w:pPr>
              <w:spacing w:after="0"/>
              <w:rPr>
                <w:sz w:val="1"/>
                <w:szCs w:val="1"/>
                <w:color w:val="auto"/>
              </w:rPr>
            </w:pPr>
          </w:p>
        </w:tc>
      </w:tr>
      <w:tr>
        <w:trPr>
          <w:trHeight w:val="159"/>
        </w:trPr>
        <w:tc>
          <w:tcPr>
            <w:tcW w:w="4680" w:type="dxa"/>
            <w:vAlign w:val="bottom"/>
          </w:tcPr>
          <w:p>
            <w:pPr>
              <w:ind w:left="20"/>
              <w:spacing w:after="0"/>
              <w:rPr>
                <w:sz w:val="20"/>
                <w:szCs w:val="20"/>
                <w:color w:val="auto"/>
              </w:rPr>
            </w:pPr>
            <w:r>
              <w:rPr>
                <w:rFonts w:ascii="Arial" w:cs="Arial" w:eastAsia="Arial" w:hAnsi="Arial"/>
                <w:sz w:val="11"/>
                <w:szCs w:val="11"/>
                <w:color w:val="auto"/>
              </w:rPr>
              <w:t>Income tax expense (benefit)</w:t>
            </w:r>
          </w:p>
        </w:tc>
        <w:tc>
          <w:tcPr>
            <w:tcW w:w="80" w:type="dxa"/>
            <w:vAlign w:val="bottom"/>
            <w:shd w:val="clear" w:color="auto" w:fill="929292"/>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472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59"/>
        </w:trPr>
        <w:tc>
          <w:tcPr>
            <w:tcW w:w="4680" w:type="dxa"/>
            <w:vAlign w:val="bottom"/>
          </w:tcPr>
          <w:p>
            <w:pPr>
              <w:ind w:left="20"/>
              <w:spacing w:after="0"/>
              <w:rPr>
                <w:sz w:val="20"/>
                <w:szCs w:val="20"/>
                <w:color w:val="auto"/>
              </w:rPr>
            </w:pPr>
            <w:r>
              <w:rPr>
                <w:rFonts w:ascii="Arial" w:cs="Arial" w:eastAsia="Arial" w:hAnsi="Arial"/>
                <w:sz w:val="11"/>
                <w:szCs w:val="11"/>
                <w:color w:val="auto"/>
              </w:rPr>
              <w:t>Depreciation and amortization expense</w:t>
            </w:r>
          </w:p>
        </w:tc>
        <w:tc>
          <w:tcPr>
            <w:tcW w:w="80" w:type="dxa"/>
            <w:vAlign w:val="bottom"/>
            <w:tcBorders>
              <w:bottom w:val="single" w:sz="8" w:color="929292"/>
            </w:tcBorders>
            <w:shd w:val="clear" w:color="auto" w:fill="929292"/>
          </w:tcPr>
          <w:p>
            <w:pPr>
              <w:spacing w:after="0"/>
              <w:rPr>
                <w:sz w:val="13"/>
                <w:szCs w:val="13"/>
                <w:color w:val="auto"/>
              </w:rPr>
            </w:pPr>
          </w:p>
        </w:tc>
        <w:tc>
          <w:tcPr>
            <w:tcW w:w="880" w:type="dxa"/>
            <w:vAlign w:val="bottom"/>
            <w:tcBorders>
              <w:bottom w:val="single" w:sz="8" w:color="929292"/>
            </w:tcBorders>
          </w:tcPr>
          <w:p>
            <w:pPr>
              <w:spacing w:after="0"/>
              <w:rPr>
                <w:sz w:val="13"/>
                <w:szCs w:val="13"/>
                <w:color w:val="auto"/>
              </w:rPr>
            </w:pPr>
          </w:p>
        </w:tc>
        <w:tc>
          <w:tcPr>
            <w:tcW w:w="6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26,411</w:t>
            </w:r>
          </w:p>
        </w:tc>
        <w:tc>
          <w:tcPr>
            <w:tcW w:w="80" w:type="dxa"/>
            <w:vAlign w:val="bottom"/>
            <w:tcBorders>
              <w:bottom w:val="single" w:sz="8" w:color="929292"/>
            </w:tcBorders>
          </w:tcPr>
          <w:p>
            <w:pPr>
              <w:spacing w:after="0"/>
              <w:rPr>
                <w:sz w:val="13"/>
                <w:szCs w:val="13"/>
                <w:color w:val="auto"/>
              </w:rPr>
            </w:pPr>
          </w:p>
        </w:tc>
        <w:tc>
          <w:tcPr>
            <w:tcW w:w="880" w:type="dxa"/>
            <w:vAlign w:val="bottom"/>
            <w:tcBorders>
              <w:bottom w:val="single" w:sz="8" w:color="929292"/>
            </w:tcBorders>
          </w:tcPr>
          <w:p>
            <w:pPr>
              <w:spacing w:after="0"/>
              <w:rPr>
                <w:sz w:val="13"/>
                <w:szCs w:val="13"/>
                <w:color w:val="auto"/>
              </w:rPr>
            </w:pPr>
          </w:p>
        </w:tc>
        <w:tc>
          <w:tcPr>
            <w:tcW w:w="6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25,738</w:t>
            </w:r>
          </w:p>
        </w:tc>
        <w:tc>
          <w:tcPr>
            <w:tcW w:w="80" w:type="dxa"/>
            <w:vAlign w:val="bottom"/>
            <w:tcBorders>
              <w:bottom w:val="single" w:sz="8" w:color="929292"/>
            </w:tcBorders>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4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52,359</w:t>
            </w:r>
          </w:p>
        </w:tc>
        <w:tc>
          <w:tcPr>
            <w:tcW w:w="80" w:type="dxa"/>
            <w:vAlign w:val="bottom"/>
            <w:tcBorders>
              <w:bottom w:val="single" w:sz="8" w:color="929292"/>
            </w:tcBorders>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14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51,105</w:t>
            </w:r>
          </w:p>
        </w:tc>
        <w:tc>
          <w:tcPr>
            <w:tcW w:w="0" w:type="dxa"/>
            <w:vAlign w:val="bottom"/>
          </w:tcPr>
          <w:p>
            <w:pPr>
              <w:spacing w:after="0"/>
              <w:rPr>
                <w:sz w:val="1"/>
                <w:szCs w:val="1"/>
                <w:color w:val="auto"/>
              </w:rPr>
            </w:pPr>
          </w:p>
        </w:tc>
      </w:tr>
      <w:tr>
        <w:trPr>
          <w:trHeight w:val="156"/>
        </w:trPr>
        <w:tc>
          <w:tcPr>
            <w:tcW w:w="4680" w:type="dxa"/>
            <w:vAlign w:val="bottom"/>
          </w:tcPr>
          <w:p>
            <w:pPr>
              <w:ind w:left="20"/>
              <w:spacing w:after="0"/>
              <w:rPr>
                <w:sz w:val="20"/>
                <w:szCs w:val="20"/>
                <w:color w:val="auto"/>
              </w:rPr>
            </w:pPr>
            <w:r>
              <w:rPr>
                <w:rFonts w:ascii="Arial" w:cs="Arial" w:eastAsia="Arial" w:hAnsi="Arial"/>
                <w:sz w:val="11"/>
                <w:szCs w:val="11"/>
                <w:b w:val="1"/>
                <w:bCs w:val="1"/>
                <w:color w:val="auto"/>
              </w:rPr>
              <w:t>EBITDA</w:t>
            </w:r>
          </w:p>
        </w:tc>
        <w:tc>
          <w:tcPr>
            <w:tcW w:w="80" w:type="dxa"/>
            <w:vAlign w:val="bottom"/>
            <w:tcBorders>
              <w:bottom w:val="single" w:sz="8" w:color="929292"/>
            </w:tcBorders>
            <w:shd w:val="clear" w:color="auto" w:fill="929292"/>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b w:val="1"/>
                <w:bCs w:val="1"/>
                <w:color w:val="auto"/>
              </w:rPr>
              <w:t>(74,617)</w:t>
            </w:r>
          </w:p>
        </w:tc>
        <w:tc>
          <w:tcPr>
            <w:tcW w:w="80" w:type="dxa"/>
            <w:vAlign w:val="bottom"/>
            <w:tcBorders>
              <w:bottom w:val="single" w:sz="8" w:color="929292"/>
            </w:tcBorders>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b w:val="1"/>
                <w:bCs w:val="1"/>
                <w:color w:val="auto"/>
              </w:rPr>
              <w:t>(5,238)</w:t>
            </w:r>
          </w:p>
        </w:tc>
        <w:tc>
          <w:tcPr>
            <w:tcW w:w="80" w:type="dxa"/>
            <w:vAlign w:val="bottom"/>
            <w:tcBorders>
              <w:bottom w:val="single" w:sz="8" w:color="929292"/>
            </w:tcBorders>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b w:val="1"/>
                <w:bCs w:val="1"/>
                <w:color w:val="auto"/>
              </w:rPr>
              <w:t>(74,040)</w:t>
            </w:r>
          </w:p>
        </w:tc>
        <w:tc>
          <w:tcPr>
            <w:tcW w:w="80" w:type="dxa"/>
            <w:vAlign w:val="bottom"/>
            <w:tcBorders>
              <w:bottom w:val="single" w:sz="8" w:color="929292"/>
            </w:tcBorders>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03"/>
              <w:spacing w:after="0"/>
              <w:rPr>
                <w:sz w:val="20"/>
                <w:szCs w:val="20"/>
                <w:color w:val="auto"/>
              </w:rPr>
            </w:pPr>
            <w:r>
              <w:rPr>
                <w:rFonts w:ascii="Arial" w:cs="Arial" w:eastAsia="Arial" w:hAnsi="Arial"/>
                <w:sz w:val="11"/>
                <w:szCs w:val="11"/>
                <w:b w:val="1"/>
                <w:bCs w:val="1"/>
                <w:color w:val="auto"/>
              </w:rPr>
              <w:t>21,526</w:t>
            </w:r>
          </w:p>
        </w:tc>
        <w:tc>
          <w:tcPr>
            <w:tcW w:w="0" w:type="dxa"/>
            <w:vAlign w:val="bottom"/>
          </w:tcPr>
          <w:p>
            <w:pPr>
              <w:spacing w:after="0"/>
              <w:rPr>
                <w:sz w:val="1"/>
                <w:szCs w:val="1"/>
                <w:color w:val="auto"/>
              </w:rPr>
            </w:pPr>
          </w:p>
        </w:tc>
      </w:tr>
      <w:tr>
        <w:trPr>
          <w:trHeight w:val="133"/>
        </w:trPr>
        <w:tc>
          <w:tcPr>
            <w:tcW w:w="4680" w:type="dxa"/>
            <w:vAlign w:val="bottom"/>
          </w:tcPr>
          <w:p>
            <w:pPr>
              <w:ind w:left="20"/>
              <w:spacing w:after="0"/>
              <w:rPr>
                <w:sz w:val="20"/>
                <w:szCs w:val="20"/>
                <w:color w:val="auto"/>
              </w:rPr>
            </w:pPr>
            <w:r>
              <w:rPr>
                <w:rFonts w:ascii="Arial" w:cs="Arial" w:eastAsia="Arial" w:hAnsi="Arial"/>
                <w:sz w:val="11"/>
                <w:szCs w:val="11"/>
                <w:color w:val="auto"/>
              </w:rPr>
              <w:t>Operating lease impairment charges (1)</w:t>
            </w:r>
          </w:p>
        </w:tc>
        <w:tc>
          <w:tcPr>
            <w:tcW w:w="80" w:type="dxa"/>
            <w:vAlign w:val="bottom"/>
            <w:shd w:val="clear" w:color="auto" w:fill="929292"/>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24,995</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24,995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4680" w:type="dxa"/>
            <w:vAlign w:val="bottom"/>
          </w:tcPr>
          <w:p>
            <w:pPr>
              <w:ind w:left="20"/>
              <w:spacing w:after="0"/>
              <w:rPr>
                <w:sz w:val="20"/>
                <w:szCs w:val="20"/>
                <w:color w:val="auto"/>
              </w:rPr>
            </w:pPr>
            <w:r>
              <w:rPr>
                <w:rFonts w:ascii="Arial" w:cs="Arial" w:eastAsia="Arial" w:hAnsi="Arial"/>
                <w:sz w:val="11"/>
                <w:szCs w:val="11"/>
                <w:color w:val="auto"/>
              </w:rPr>
              <w:t>Share-based compensation expense (2)</w:t>
            </w:r>
          </w:p>
        </w:tc>
        <w:tc>
          <w:tcPr>
            <w:tcW w:w="80" w:type="dxa"/>
            <w:vAlign w:val="bottom"/>
            <w:shd w:val="clear" w:color="auto" w:fill="929292"/>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14,257</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7,599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19,412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03"/>
              <w:spacing w:after="0"/>
              <w:rPr>
                <w:sz w:val="20"/>
                <w:szCs w:val="20"/>
                <w:color w:val="auto"/>
              </w:rPr>
            </w:pPr>
            <w:r>
              <w:rPr>
                <w:rFonts w:ascii="Arial" w:cs="Arial" w:eastAsia="Arial" w:hAnsi="Arial"/>
                <w:sz w:val="11"/>
                <w:szCs w:val="11"/>
                <w:color w:val="auto"/>
              </w:rPr>
              <w:t>12,711</w:t>
            </w:r>
          </w:p>
        </w:tc>
        <w:tc>
          <w:tcPr>
            <w:tcW w:w="0" w:type="dxa"/>
            <w:vAlign w:val="bottom"/>
          </w:tcPr>
          <w:p>
            <w:pPr>
              <w:spacing w:after="0"/>
              <w:rPr>
                <w:sz w:val="1"/>
                <w:szCs w:val="1"/>
                <w:color w:val="auto"/>
              </w:rPr>
            </w:pPr>
          </w:p>
        </w:tc>
      </w:tr>
      <w:tr>
        <w:trPr>
          <w:trHeight w:val="159"/>
        </w:trPr>
        <w:tc>
          <w:tcPr>
            <w:tcW w:w="4680" w:type="dxa"/>
            <w:vAlign w:val="bottom"/>
          </w:tcPr>
          <w:p>
            <w:pPr>
              <w:ind w:left="20"/>
              <w:spacing w:after="0"/>
              <w:rPr>
                <w:sz w:val="20"/>
                <w:szCs w:val="20"/>
                <w:color w:val="auto"/>
              </w:rPr>
            </w:pPr>
            <w:r>
              <w:rPr>
                <w:rFonts w:ascii="Arial" w:cs="Arial" w:eastAsia="Arial" w:hAnsi="Arial"/>
                <w:sz w:val="11"/>
                <w:szCs w:val="11"/>
                <w:color w:val="auto"/>
              </w:rPr>
              <w:t>Severance costs (3)</w:t>
            </w:r>
          </w:p>
        </w:tc>
        <w:tc>
          <w:tcPr>
            <w:tcW w:w="80" w:type="dxa"/>
            <w:vAlign w:val="bottom"/>
            <w:shd w:val="clear" w:color="auto" w:fill="929292"/>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3,624</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5,015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4680" w:type="dxa"/>
            <w:vAlign w:val="bottom"/>
          </w:tcPr>
          <w:p>
            <w:pPr>
              <w:ind w:left="20"/>
              <w:spacing w:after="0"/>
              <w:rPr>
                <w:sz w:val="20"/>
                <w:szCs w:val="20"/>
                <w:color w:val="auto"/>
              </w:rPr>
            </w:pPr>
            <w:r>
              <w:rPr>
                <w:rFonts w:ascii="Arial" w:cs="Arial" w:eastAsia="Arial" w:hAnsi="Arial"/>
                <w:sz w:val="11"/>
                <w:szCs w:val="11"/>
                <w:color w:val="auto"/>
              </w:rPr>
              <w:t>Loss on extinguishment of debt (4)</w:t>
            </w:r>
          </w:p>
        </w:tc>
        <w:tc>
          <w:tcPr>
            <w:tcW w:w="80" w:type="dxa"/>
            <w:vAlign w:val="bottom"/>
            <w:shd w:val="clear" w:color="auto" w:fill="929292"/>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11,935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03"/>
              <w:spacing w:after="0"/>
              <w:rPr>
                <w:sz w:val="20"/>
                <w:szCs w:val="20"/>
                <w:color w:val="auto"/>
              </w:rPr>
            </w:pPr>
            <w:r>
              <w:rPr>
                <w:rFonts w:ascii="Arial" w:cs="Arial" w:eastAsia="Arial" w:hAnsi="Arial"/>
                <w:sz w:val="11"/>
                <w:szCs w:val="11"/>
                <w:color w:val="auto"/>
              </w:rPr>
              <w:t>11,935</w:t>
            </w:r>
          </w:p>
        </w:tc>
        <w:tc>
          <w:tcPr>
            <w:tcW w:w="0" w:type="dxa"/>
            <w:vAlign w:val="bottom"/>
          </w:tcPr>
          <w:p>
            <w:pPr>
              <w:spacing w:after="0"/>
              <w:rPr>
                <w:sz w:val="1"/>
                <w:szCs w:val="1"/>
                <w:color w:val="auto"/>
              </w:rPr>
            </w:pPr>
          </w:p>
        </w:tc>
      </w:tr>
      <w:tr>
        <w:trPr>
          <w:trHeight w:val="159"/>
        </w:trPr>
        <w:tc>
          <w:tcPr>
            <w:tcW w:w="4680" w:type="dxa"/>
            <w:vAlign w:val="bottom"/>
          </w:tcPr>
          <w:p>
            <w:pPr>
              <w:ind w:left="20"/>
              <w:spacing w:after="0"/>
              <w:rPr>
                <w:sz w:val="20"/>
                <w:szCs w:val="20"/>
                <w:color w:val="auto"/>
              </w:rPr>
            </w:pPr>
            <w:r>
              <w:rPr>
                <w:rFonts w:ascii="Arial" w:cs="Arial" w:eastAsia="Arial" w:hAnsi="Arial"/>
                <w:sz w:val="11"/>
                <w:szCs w:val="11"/>
                <w:color w:val="auto"/>
              </w:rPr>
              <w:t>Professional services (5)</w:t>
            </w:r>
          </w:p>
        </w:tc>
        <w:tc>
          <w:tcPr>
            <w:tcW w:w="80" w:type="dxa"/>
            <w:vAlign w:val="bottom"/>
            <w:shd w:val="clear" w:color="auto" w:fill="929292"/>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3,950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4680" w:type="dxa"/>
            <w:vAlign w:val="bottom"/>
          </w:tcPr>
          <w:p>
            <w:pPr>
              <w:ind w:left="20"/>
              <w:spacing w:after="0"/>
              <w:rPr>
                <w:sz w:val="20"/>
                <w:szCs w:val="20"/>
                <w:color w:val="auto"/>
              </w:rPr>
            </w:pPr>
            <w:r>
              <w:rPr>
                <w:rFonts w:ascii="Arial" w:cs="Arial" w:eastAsia="Arial" w:hAnsi="Arial"/>
                <w:sz w:val="11"/>
                <w:szCs w:val="11"/>
                <w:color w:val="auto"/>
              </w:rPr>
              <w:t>Legal fees (6)</w:t>
            </w:r>
          </w:p>
        </w:tc>
        <w:tc>
          <w:tcPr>
            <w:tcW w:w="80" w:type="dxa"/>
            <w:vAlign w:val="bottom"/>
            <w:tcBorders>
              <w:bottom w:val="single" w:sz="8" w:color="929292"/>
            </w:tcBorders>
            <w:shd w:val="clear" w:color="auto" w:fill="929292"/>
          </w:tcPr>
          <w:p>
            <w:pPr>
              <w:spacing w:after="0"/>
              <w:rPr>
                <w:sz w:val="14"/>
                <w:szCs w:val="14"/>
                <w:color w:val="auto"/>
              </w:rPr>
            </w:pPr>
          </w:p>
        </w:tc>
        <w:tc>
          <w:tcPr>
            <w:tcW w:w="880" w:type="dxa"/>
            <w:vAlign w:val="bottom"/>
            <w:tcBorders>
              <w:bottom w:val="single" w:sz="8" w:color="929292"/>
            </w:tcBorders>
          </w:tcPr>
          <w:p>
            <w:pPr>
              <w:spacing w:after="0"/>
              <w:rPr>
                <w:sz w:val="14"/>
                <w:szCs w:val="14"/>
                <w:color w:val="auto"/>
              </w:rPr>
            </w:pPr>
          </w:p>
        </w:tc>
        <w:tc>
          <w:tcPr>
            <w:tcW w:w="6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929292"/>
            </w:tcBorders>
          </w:tcPr>
          <w:p>
            <w:pPr>
              <w:spacing w:after="0"/>
              <w:rPr>
                <w:sz w:val="14"/>
                <w:szCs w:val="14"/>
                <w:color w:val="auto"/>
              </w:rPr>
            </w:pPr>
          </w:p>
        </w:tc>
        <w:tc>
          <w:tcPr>
            <w:tcW w:w="880" w:type="dxa"/>
            <w:vAlign w:val="bottom"/>
            <w:tcBorders>
              <w:bottom w:val="single" w:sz="8" w:color="929292"/>
            </w:tcBorders>
          </w:tcPr>
          <w:p>
            <w:pPr>
              <w:spacing w:after="0"/>
              <w:rPr>
                <w:sz w:val="14"/>
                <w:szCs w:val="14"/>
                <w:color w:val="auto"/>
              </w:rPr>
            </w:pPr>
          </w:p>
        </w:tc>
        <w:tc>
          <w:tcPr>
            <w:tcW w:w="6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929292"/>
            </w:tcBorders>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929292"/>
            </w:tcBorders>
          </w:tcPr>
          <w:p>
            <w:pPr>
              <w:spacing w:after="0"/>
              <w:rPr>
                <w:sz w:val="14"/>
                <w:szCs w:val="14"/>
                <w:color w:val="auto"/>
              </w:rPr>
            </w:pPr>
          </w:p>
        </w:tc>
        <w:tc>
          <w:tcPr>
            <w:tcW w:w="36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180</w:t>
            </w:r>
          </w:p>
        </w:tc>
        <w:tc>
          <w:tcPr>
            <w:tcW w:w="0" w:type="dxa"/>
            <w:vAlign w:val="bottom"/>
          </w:tcPr>
          <w:p>
            <w:pPr>
              <w:spacing w:after="0"/>
              <w:rPr>
                <w:sz w:val="1"/>
                <w:szCs w:val="1"/>
                <w:color w:val="auto"/>
              </w:rPr>
            </w:pPr>
          </w:p>
        </w:tc>
      </w:tr>
      <w:tr>
        <w:trPr>
          <w:trHeight w:val="153"/>
        </w:trPr>
        <w:tc>
          <w:tcPr>
            <w:tcW w:w="4680" w:type="dxa"/>
            <w:vAlign w:val="bottom"/>
          </w:tcPr>
          <w:p>
            <w:pPr>
              <w:ind w:left="20"/>
              <w:spacing w:after="0"/>
              <w:rPr>
                <w:sz w:val="20"/>
                <w:szCs w:val="20"/>
                <w:color w:val="auto"/>
              </w:rPr>
            </w:pPr>
            <w:r>
              <w:rPr>
                <w:rFonts w:ascii="Arial" w:cs="Arial" w:eastAsia="Arial" w:hAnsi="Arial"/>
                <w:sz w:val="11"/>
                <w:szCs w:val="11"/>
                <w:b w:val="1"/>
                <w:bCs w:val="1"/>
                <w:color w:val="auto"/>
              </w:rPr>
              <w:t>Adjusted EBITDA</w:t>
            </w:r>
          </w:p>
        </w:tc>
        <w:tc>
          <w:tcPr>
            <w:tcW w:w="80" w:type="dxa"/>
            <w:vAlign w:val="bottom"/>
            <w:tcBorders>
              <w:bottom w:val="single" w:sz="8" w:color="929292"/>
            </w:tcBorders>
            <w:shd w:val="clear" w:color="auto" w:fill="929292"/>
          </w:tcPr>
          <w:p>
            <w:pPr>
              <w:spacing w:after="0"/>
              <w:rPr>
                <w:sz w:val="13"/>
                <w:szCs w:val="13"/>
                <w:color w:val="auto"/>
              </w:rPr>
            </w:pPr>
          </w:p>
        </w:tc>
        <w:tc>
          <w:tcPr>
            <w:tcW w:w="880" w:type="dxa"/>
            <w:vAlign w:val="bottom"/>
            <w:tcBorders>
              <w:bottom w:val="single" w:sz="8" w:color="929292"/>
            </w:tcBorders>
          </w:tcPr>
          <w:p>
            <w:pPr>
              <w:jc w:val="right"/>
              <w:ind w:right="743"/>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(31,741)</w:t>
            </w:r>
          </w:p>
        </w:tc>
        <w:tc>
          <w:tcPr>
            <w:tcW w:w="960" w:type="dxa"/>
            <w:vAlign w:val="bottom"/>
            <w:tcBorders>
              <w:bottom w:val="single" w:sz="8" w:color="929292"/>
            </w:tcBorders>
            <w:gridSpan w:val="2"/>
          </w:tcPr>
          <w:p>
            <w:pPr>
              <w:jc w:val="right"/>
              <w:ind w:right="800"/>
              <w:spacing w:after="0"/>
              <w:rPr>
                <w:sz w:val="20"/>
                <w:szCs w:val="20"/>
                <w:color w:val="auto"/>
              </w:rPr>
            </w:pPr>
            <w:r>
              <w:rPr>
                <w:rFonts w:ascii="Arial" w:cs="Arial" w:eastAsia="Arial" w:hAnsi="Arial"/>
                <w:sz w:val="11"/>
                <w:szCs w:val="11"/>
                <w:b w:val="1"/>
                <w:bCs w:val="1"/>
                <w:color w:val="auto"/>
              </w:rPr>
              <w:t>$</w:t>
            </w:r>
          </w:p>
        </w:tc>
        <w:tc>
          <w:tcPr>
            <w:tcW w:w="6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b w:val="1"/>
                <w:bCs w:val="1"/>
                <w:color w:val="auto"/>
              </w:rPr>
              <w:t>14,296</w:t>
            </w:r>
          </w:p>
        </w:tc>
        <w:tc>
          <w:tcPr>
            <w:tcW w:w="420" w:type="dxa"/>
            <w:vAlign w:val="bottom"/>
            <w:tcBorders>
              <w:bottom w:val="single" w:sz="8" w:color="929292"/>
            </w:tcBorders>
            <w:gridSpan w:val="2"/>
          </w:tcPr>
          <w:p>
            <w:pPr>
              <w:jc w:val="right"/>
              <w:ind w:right="260"/>
              <w:spacing w:after="0"/>
              <w:rPr>
                <w:sz w:val="20"/>
                <w:szCs w:val="20"/>
                <w:color w:val="auto"/>
              </w:rPr>
            </w:pPr>
            <w:r>
              <w:rPr>
                <w:rFonts w:ascii="Arial" w:cs="Arial" w:eastAsia="Arial" w:hAnsi="Arial"/>
                <w:sz w:val="11"/>
                <w:szCs w:val="11"/>
                <w:b w:val="1"/>
                <w:bCs w:val="1"/>
                <w:color w:val="auto"/>
              </w:rPr>
              <w:t>$</w:t>
            </w:r>
          </w:p>
        </w:tc>
        <w:tc>
          <w:tcPr>
            <w:tcW w:w="114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(20,668)</w:t>
            </w:r>
          </w:p>
        </w:tc>
        <w:tc>
          <w:tcPr>
            <w:tcW w:w="440" w:type="dxa"/>
            <w:vAlign w:val="bottom"/>
            <w:tcBorders>
              <w:bottom w:val="single" w:sz="8" w:color="929292"/>
            </w:tcBorders>
            <w:gridSpan w:val="2"/>
          </w:tcPr>
          <w:p>
            <w:pPr>
              <w:jc w:val="right"/>
              <w:ind w:right="280"/>
              <w:spacing w:after="0"/>
              <w:rPr>
                <w:sz w:val="20"/>
                <w:szCs w:val="20"/>
                <w:color w:val="auto"/>
              </w:rPr>
            </w:pPr>
            <w:r>
              <w:rPr>
                <w:rFonts w:ascii="Arial" w:cs="Arial" w:eastAsia="Arial" w:hAnsi="Arial"/>
                <w:sz w:val="11"/>
                <w:szCs w:val="11"/>
                <w:b w:val="1"/>
                <w:bCs w:val="1"/>
                <w:color w:val="auto"/>
              </w:rPr>
              <w:t>$</w:t>
            </w:r>
          </w:p>
        </w:tc>
        <w:tc>
          <w:tcPr>
            <w:tcW w:w="114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b w:val="1"/>
                <w:bCs w:val="1"/>
                <w:color w:val="auto"/>
              </w:rPr>
              <w:t>46,352</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Adjusted EBITDA Margin</w:t>
            </w:r>
          </w:p>
        </w:tc>
        <w:tc>
          <w:tcPr>
            <w:tcW w:w="80" w:type="dxa"/>
            <w:vAlign w:val="bottom"/>
            <w:tcBorders>
              <w:bottom w:val="single" w:sz="8" w:color="929292"/>
            </w:tcBorders>
            <w:shd w:val="clear" w:color="auto" w:fill="929292"/>
          </w:tcPr>
          <w:p>
            <w:pPr>
              <w:spacing w:after="0" w:line="20" w:lineRule="exact"/>
              <w:rPr>
                <w:sz w:val="1"/>
                <w:szCs w:val="1"/>
                <w:color w:val="auto"/>
              </w:rPr>
            </w:pPr>
          </w:p>
        </w:tc>
        <w:tc>
          <w:tcPr>
            <w:tcW w:w="880" w:type="dxa"/>
            <w:vAlign w:val="bottom"/>
            <w:tcBorders>
              <w:bottom w:val="single" w:sz="8" w:color="929292"/>
            </w:tcBorders>
          </w:tcPr>
          <w:p>
            <w:pPr>
              <w:spacing w:after="0" w:line="20" w:lineRule="exact"/>
              <w:rPr>
                <w:sz w:val="1"/>
                <w:szCs w:val="1"/>
                <w:color w:val="auto"/>
              </w:rPr>
            </w:pPr>
          </w:p>
        </w:tc>
        <w:tc>
          <w:tcPr>
            <w:tcW w:w="600" w:type="dxa"/>
            <w:vAlign w:val="bottom"/>
            <w:tcBorders>
              <w:bottom w:val="single" w:sz="8" w:color="929292"/>
            </w:tcBorders>
          </w:tcPr>
          <w:p>
            <w:pPr>
              <w:spacing w:after="0" w:line="20" w:lineRule="exact"/>
              <w:rPr>
                <w:sz w:val="1"/>
                <w:szCs w:val="1"/>
                <w:color w:val="auto"/>
              </w:rPr>
            </w:pPr>
          </w:p>
        </w:tc>
        <w:tc>
          <w:tcPr>
            <w:tcW w:w="80" w:type="dxa"/>
            <w:vAlign w:val="bottom"/>
            <w:tcBorders>
              <w:bottom w:val="single" w:sz="8" w:color="929292"/>
            </w:tcBorders>
          </w:tcPr>
          <w:p>
            <w:pPr>
              <w:spacing w:after="0" w:line="20" w:lineRule="exact"/>
              <w:rPr>
                <w:sz w:val="1"/>
                <w:szCs w:val="1"/>
                <w:color w:val="auto"/>
              </w:rPr>
            </w:pPr>
          </w:p>
        </w:tc>
        <w:tc>
          <w:tcPr>
            <w:tcW w:w="880" w:type="dxa"/>
            <w:vAlign w:val="bottom"/>
            <w:tcBorders>
              <w:bottom w:val="single" w:sz="8" w:color="929292"/>
            </w:tcBorders>
          </w:tcPr>
          <w:p>
            <w:pPr>
              <w:spacing w:after="0" w:line="20" w:lineRule="exact"/>
              <w:rPr>
                <w:sz w:val="1"/>
                <w:szCs w:val="1"/>
                <w:color w:val="auto"/>
              </w:rPr>
            </w:pPr>
          </w:p>
        </w:tc>
        <w:tc>
          <w:tcPr>
            <w:tcW w:w="600" w:type="dxa"/>
            <w:vAlign w:val="bottom"/>
            <w:tcBorders>
              <w:bottom w:val="single" w:sz="8" w:color="929292"/>
            </w:tcBorders>
          </w:tcPr>
          <w:p>
            <w:pPr>
              <w:spacing w:after="0" w:line="20" w:lineRule="exact"/>
              <w:rPr>
                <w:sz w:val="1"/>
                <w:szCs w:val="1"/>
                <w:color w:val="auto"/>
              </w:rPr>
            </w:pPr>
          </w:p>
        </w:tc>
        <w:tc>
          <w:tcPr>
            <w:tcW w:w="80" w:type="dxa"/>
            <w:vAlign w:val="bottom"/>
            <w:tcBorders>
              <w:bottom w:val="single" w:sz="8" w:color="929292"/>
            </w:tcBorders>
          </w:tcPr>
          <w:p>
            <w:pPr>
              <w:spacing w:after="0" w:line="20" w:lineRule="exact"/>
              <w:rPr>
                <w:sz w:val="1"/>
                <w:szCs w:val="1"/>
                <w:color w:val="auto"/>
              </w:rPr>
            </w:pPr>
          </w:p>
        </w:tc>
        <w:tc>
          <w:tcPr>
            <w:tcW w:w="34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80" w:type="dxa"/>
            <w:vAlign w:val="bottom"/>
            <w:tcBorders>
              <w:bottom w:val="single" w:sz="8" w:color="929292"/>
            </w:tcBorders>
          </w:tcPr>
          <w:p>
            <w:pPr>
              <w:spacing w:after="0" w:line="20" w:lineRule="exact"/>
              <w:rPr>
                <w:sz w:val="1"/>
                <w:szCs w:val="1"/>
                <w:color w:val="auto"/>
              </w:rPr>
            </w:pPr>
          </w:p>
        </w:tc>
        <w:tc>
          <w:tcPr>
            <w:tcW w:w="36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80" w:type="dxa"/>
            <w:vAlign w:val="bottom"/>
            <w:shd w:val="clear" w:color="auto" w:fill="929292"/>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(20.0)%</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7.3 %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(4.8)%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11.6 %</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260" w:hanging="255"/>
        <w:spacing w:after="0"/>
        <w:tabs>
          <w:tab w:leader="none" w:pos="260" w:val="left"/>
        </w:tabs>
        <w:numPr>
          <w:ilvl w:val="0"/>
          <w:numId w:val="13"/>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the operating lease impairment charge for the three and six months ended June 30, 2022, reducing the carrying value of the associated ROU assets and leasehold improvements to the estimated fair values.</w:t>
      </w:r>
    </w:p>
    <w:p>
      <w:pPr>
        <w:spacing w:after="0" w:line="9" w:lineRule="exact"/>
        <w:rPr>
          <w:rFonts w:ascii="Arial" w:cs="Arial" w:eastAsia="Arial" w:hAnsi="Arial"/>
          <w:sz w:val="10"/>
          <w:szCs w:val="10"/>
          <w:i w:val="1"/>
          <w:iCs w:val="1"/>
          <w:color w:val="auto"/>
        </w:rPr>
      </w:pPr>
    </w:p>
    <w:p>
      <w:pPr>
        <w:ind w:left="260" w:hanging="255"/>
        <w:spacing w:after="0"/>
        <w:tabs>
          <w:tab w:leader="none" w:pos="260" w:val="left"/>
        </w:tabs>
        <w:numPr>
          <w:ilvl w:val="0"/>
          <w:numId w:val="13"/>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non-cash share-based compensation expense relating to equity awards, as well share-based compensation expense relating to liability classified awards that will be settled in cash.</w:t>
      </w:r>
    </w:p>
    <w:p>
      <w:pPr>
        <w:spacing w:after="0" w:line="6" w:lineRule="exact"/>
        <w:rPr>
          <w:rFonts w:ascii="Arial" w:cs="Arial" w:eastAsia="Arial" w:hAnsi="Arial"/>
          <w:sz w:val="10"/>
          <w:szCs w:val="10"/>
          <w:i w:val="1"/>
          <w:iCs w:val="1"/>
          <w:color w:val="auto"/>
        </w:rPr>
      </w:pPr>
    </w:p>
    <w:p>
      <w:pPr>
        <w:ind w:left="260" w:hanging="255"/>
        <w:spacing w:after="0"/>
        <w:tabs>
          <w:tab w:leader="none" w:pos="260" w:val="left"/>
        </w:tabs>
        <w:numPr>
          <w:ilvl w:val="0"/>
          <w:numId w:val="13"/>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costs associated with the termination of employment and associated fees.</w:t>
      </w:r>
    </w:p>
    <w:p>
      <w:pPr>
        <w:spacing w:after="0" w:line="7" w:lineRule="exact"/>
        <w:rPr>
          <w:rFonts w:ascii="Arial" w:cs="Arial" w:eastAsia="Arial" w:hAnsi="Arial"/>
          <w:sz w:val="10"/>
          <w:szCs w:val="10"/>
          <w:i w:val="1"/>
          <w:iCs w:val="1"/>
          <w:color w:val="auto"/>
        </w:rPr>
      </w:pPr>
    </w:p>
    <w:p>
      <w:pPr>
        <w:ind w:left="260" w:hanging="255"/>
        <w:spacing w:after="0"/>
        <w:tabs>
          <w:tab w:leader="none" w:pos="260" w:val="left"/>
        </w:tabs>
        <w:numPr>
          <w:ilvl w:val="0"/>
          <w:numId w:val="13"/>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the loss on debt extinguishment related to the Initial Term Loan Facility.</w:t>
      </w:r>
    </w:p>
    <w:p>
      <w:pPr>
        <w:spacing w:after="0" w:line="1" w:lineRule="exact"/>
        <w:rPr>
          <w:rFonts w:ascii="Arial" w:cs="Arial" w:eastAsia="Arial" w:hAnsi="Arial"/>
          <w:sz w:val="10"/>
          <w:szCs w:val="10"/>
          <w:i w:val="1"/>
          <w:iCs w:val="1"/>
          <w:color w:val="auto"/>
        </w:rPr>
      </w:pPr>
    </w:p>
    <w:p>
      <w:pPr>
        <w:ind w:left="260" w:hanging="255"/>
        <w:spacing w:after="0"/>
        <w:tabs>
          <w:tab w:leader="none" w:pos="260" w:val="left"/>
        </w:tabs>
        <w:numPr>
          <w:ilvl w:val="0"/>
          <w:numId w:val="13"/>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costs associated with non-recurring consulting fees.</w:t>
      </w:r>
    </w:p>
    <w:p>
      <w:pPr>
        <w:spacing w:after="0" w:line="1" w:lineRule="exact"/>
        <w:rPr>
          <w:rFonts w:ascii="Arial" w:cs="Arial" w:eastAsia="Arial" w:hAnsi="Arial"/>
          <w:sz w:val="10"/>
          <w:szCs w:val="10"/>
          <w:i w:val="1"/>
          <w:iCs w:val="1"/>
          <w:color w:val="auto"/>
        </w:rPr>
      </w:pPr>
    </w:p>
    <w:p>
      <w:pPr>
        <w:ind w:left="260" w:hanging="255"/>
        <w:spacing w:after="0"/>
        <w:tabs>
          <w:tab w:leader="none" w:pos="260" w:val="left"/>
        </w:tabs>
        <w:numPr>
          <w:ilvl w:val="0"/>
          <w:numId w:val="13"/>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non-recurring legal fees unrelated to our core operations.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516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703"/>
              <w:spacing w:after="0"/>
              <w:rPr>
                <w:sz w:val="20"/>
                <w:szCs w:val="20"/>
                <w:color w:val="auto"/>
              </w:rPr>
            </w:pPr>
            <w:r>
              <w:rPr>
                <w:rFonts w:ascii="Arial" w:cs="Arial" w:eastAsia="Arial" w:hAnsi="Arial"/>
                <w:sz w:val="11"/>
                <w:szCs w:val="11"/>
                <w:color w:val="auto"/>
              </w:rPr>
              <w:t>Three months ended Jun. 30,</w:t>
            </w: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16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2022</w:t>
            </w:r>
          </w:p>
        </w:tc>
        <w:tc>
          <w:tcPr>
            <w:tcW w:w="380" w:type="dxa"/>
            <w:vAlign w:val="bottom"/>
            <w:tcBorders>
              <w:bottom w:val="single" w:sz="8" w:color="929292"/>
            </w:tcBorders>
          </w:tcPr>
          <w:p>
            <w:pPr>
              <w:spacing w:after="0"/>
              <w:rPr>
                <w:sz w:val="14"/>
                <w:szCs w:val="14"/>
                <w:color w:val="auto"/>
              </w:rPr>
            </w:pPr>
          </w:p>
        </w:tc>
        <w:tc>
          <w:tcPr>
            <w:tcW w:w="11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2021</w:t>
            </w:r>
          </w:p>
        </w:tc>
        <w:tc>
          <w:tcPr>
            <w:tcW w:w="34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83"/>
              <w:spacing w:after="0"/>
              <w:rPr>
                <w:sz w:val="20"/>
                <w:szCs w:val="20"/>
                <w:color w:val="auto"/>
              </w:rPr>
            </w:pPr>
            <w:r>
              <w:rPr>
                <w:rFonts w:ascii="Arial" w:cs="Arial" w:eastAsia="Arial" w:hAnsi="Arial"/>
                <w:sz w:val="11"/>
                <w:szCs w:val="11"/>
                <w:color w:val="auto"/>
              </w:rPr>
              <w:t>$ Change</w:t>
            </w:r>
          </w:p>
        </w:tc>
        <w:tc>
          <w:tcPr>
            <w:tcW w:w="132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color w:val="auto"/>
              </w:rPr>
              <w:t>% Change</w:t>
            </w:r>
          </w:p>
        </w:tc>
      </w:tr>
      <w:tr>
        <w:trPr>
          <w:trHeight w:val="147"/>
        </w:trPr>
        <w:tc>
          <w:tcPr>
            <w:tcW w:w="5160" w:type="dxa"/>
            <w:vAlign w:val="bottom"/>
            <w:tcBorders>
              <w:left w:val="single" w:sz="8" w:color="929292"/>
            </w:tcBorders>
          </w:tcPr>
          <w:p>
            <w:pPr>
              <w:spacing w:after="0"/>
              <w:rPr>
                <w:sz w:val="12"/>
                <w:szCs w:val="12"/>
                <w:color w:val="auto"/>
              </w:rPr>
            </w:pPr>
          </w:p>
        </w:tc>
        <w:tc>
          <w:tcPr>
            <w:tcW w:w="80" w:type="dxa"/>
            <w:vAlign w:val="bottom"/>
            <w:shd w:val="clear" w:color="auto" w:fill="929292"/>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(31,741)</w:t>
            </w:r>
          </w:p>
        </w:tc>
        <w:tc>
          <w:tcPr>
            <w:tcW w:w="3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14,296</w:t>
            </w:r>
          </w:p>
        </w:tc>
        <w:tc>
          <w:tcPr>
            <w:tcW w:w="3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43"/>
              <w:spacing w:after="0"/>
              <w:rPr>
                <w:sz w:val="20"/>
                <w:szCs w:val="20"/>
                <w:color w:val="auto"/>
              </w:rPr>
            </w:pPr>
            <w:r>
              <w:rPr>
                <w:rFonts w:ascii="Arial" w:cs="Arial" w:eastAsia="Arial" w:hAnsi="Arial"/>
                <w:sz w:val="11"/>
                <w:szCs w:val="11"/>
                <w:color w:val="auto"/>
              </w:rPr>
              <w:t>(46,037)</w:t>
            </w:r>
          </w:p>
        </w:tc>
        <w:tc>
          <w:tcPr>
            <w:tcW w:w="1320" w:type="dxa"/>
            <w:vAlign w:val="bottom"/>
          </w:tcPr>
          <w:p>
            <w:pPr>
              <w:jc w:val="right"/>
              <w:spacing w:after="0"/>
              <w:rPr>
                <w:sz w:val="20"/>
                <w:szCs w:val="20"/>
                <w:color w:val="auto"/>
              </w:rPr>
            </w:pPr>
            <w:r>
              <w:rPr>
                <w:rFonts w:ascii="Arial" w:cs="Arial" w:eastAsia="Arial" w:hAnsi="Arial"/>
                <w:sz w:val="11"/>
                <w:szCs w:val="11"/>
                <w:color w:val="auto"/>
              </w:rPr>
              <w:t>(322.0)%</w:t>
            </w:r>
          </w:p>
        </w:tc>
      </w:tr>
      <w:tr>
        <w:trPr>
          <w:trHeight w:val="176"/>
        </w:trPr>
        <w:tc>
          <w:tcPr>
            <w:tcW w:w="5160" w:type="dxa"/>
            <w:vAlign w:val="bottom"/>
            <w:tcBorders>
              <w:left w:val="single" w:sz="8" w:color="929292"/>
            </w:tcBorders>
          </w:tcPr>
          <w:p>
            <w:pPr>
              <w:ind w:left="2120"/>
              <w:spacing w:after="0"/>
              <w:rPr>
                <w:sz w:val="20"/>
                <w:szCs w:val="20"/>
                <w:color w:val="auto"/>
              </w:rPr>
            </w:pPr>
            <w:r>
              <w:rPr>
                <w:rFonts w:ascii="Arial" w:cs="Arial" w:eastAsia="Arial" w:hAnsi="Arial"/>
                <w:sz w:val="11"/>
                <w:szCs w:val="11"/>
                <w:b w:val="1"/>
                <w:bCs w:val="1"/>
                <w:color w:val="00497F"/>
              </w:rPr>
              <w:t>Adjusted EBITDA</w:t>
            </w:r>
          </w:p>
        </w:tc>
        <w:tc>
          <w:tcPr>
            <w:tcW w:w="80" w:type="dxa"/>
            <w:vAlign w:val="bottom"/>
            <w:shd w:val="clear" w:color="auto" w:fill="929292"/>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64"/>
        </w:trPr>
        <w:tc>
          <w:tcPr>
            <w:tcW w:w="516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763"/>
              <w:spacing w:after="0"/>
              <w:rPr>
                <w:sz w:val="20"/>
                <w:szCs w:val="20"/>
                <w:color w:val="auto"/>
              </w:rPr>
            </w:pPr>
            <w:r>
              <w:rPr>
                <w:rFonts w:ascii="Arial" w:cs="Arial" w:eastAsia="Arial" w:hAnsi="Arial"/>
                <w:sz w:val="11"/>
                <w:szCs w:val="11"/>
                <w:color w:val="auto"/>
              </w:rPr>
              <w:t>Six months ended Jun. 30,</w:t>
            </w: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3"/>
        </w:trPr>
        <w:tc>
          <w:tcPr>
            <w:tcW w:w="5160" w:type="dxa"/>
            <w:vAlign w:val="bottom"/>
            <w:tcBorders>
              <w:left w:val="single" w:sz="8" w:color="929292"/>
            </w:tcBorders>
          </w:tcPr>
          <w:p>
            <w:pPr>
              <w:spacing w:after="0"/>
              <w:rPr>
                <w:sz w:val="15"/>
                <w:szCs w:val="15"/>
                <w:color w:val="auto"/>
              </w:rPr>
            </w:pPr>
          </w:p>
        </w:tc>
        <w:tc>
          <w:tcPr>
            <w:tcW w:w="80" w:type="dxa"/>
            <w:vAlign w:val="bottom"/>
            <w:tcBorders>
              <w:bottom w:val="single" w:sz="8" w:color="929292"/>
            </w:tcBorders>
            <w:shd w:val="clear" w:color="auto" w:fill="929292"/>
          </w:tcPr>
          <w:p>
            <w:pPr>
              <w:spacing w:after="0"/>
              <w:rPr>
                <w:sz w:val="15"/>
                <w:szCs w:val="15"/>
                <w:color w:val="auto"/>
              </w:rPr>
            </w:pPr>
          </w:p>
        </w:tc>
        <w:tc>
          <w:tcPr>
            <w:tcW w:w="340" w:type="dxa"/>
            <w:vAlign w:val="bottom"/>
            <w:tcBorders>
              <w:bottom w:val="single" w:sz="8" w:color="929292"/>
            </w:tcBorders>
          </w:tcPr>
          <w:p>
            <w:pPr>
              <w:spacing w:after="0"/>
              <w:rPr>
                <w:sz w:val="15"/>
                <w:szCs w:val="15"/>
                <w:color w:val="auto"/>
              </w:rPr>
            </w:pPr>
          </w:p>
        </w:tc>
        <w:tc>
          <w:tcPr>
            <w:tcW w:w="11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2022</w:t>
            </w:r>
          </w:p>
        </w:tc>
        <w:tc>
          <w:tcPr>
            <w:tcW w:w="380" w:type="dxa"/>
            <w:vAlign w:val="bottom"/>
            <w:tcBorders>
              <w:bottom w:val="single" w:sz="8" w:color="929292"/>
            </w:tcBorders>
          </w:tcPr>
          <w:p>
            <w:pPr>
              <w:spacing w:after="0"/>
              <w:rPr>
                <w:sz w:val="15"/>
                <w:szCs w:val="15"/>
                <w:color w:val="auto"/>
              </w:rPr>
            </w:pPr>
          </w:p>
        </w:tc>
        <w:tc>
          <w:tcPr>
            <w:tcW w:w="11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2021</w:t>
            </w:r>
          </w:p>
        </w:tc>
        <w:tc>
          <w:tcPr>
            <w:tcW w:w="340" w:type="dxa"/>
            <w:vAlign w:val="bottom"/>
            <w:tcBorders>
              <w:bottom w:val="single" w:sz="8" w:color="929292"/>
            </w:tcBorders>
          </w:tcPr>
          <w:p>
            <w:pPr>
              <w:spacing w:after="0"/>
              <w:rPr>
                <w:sz w:val="15"/>
                <w:szCs w:val="15"/>
                <w:color w:val="auto"/>
              </w:rPr>
            </w:pPr>
          </w:p>
        </w:tc>
        <w:tc>
          <w:tcPr>
            <w:tcW w:w="1420" w:type="dxa"/>
            <w:vAlign w:val="bottom"/>
            <w:tcBorders>
              <w:bottom w:val="single" w:sz="8" w:color="929292"/>
            </w:tcBorders>
          </w:tcPr>
          <w:p>
            <w:pPr>
              <w:jc w:val="right"/>
              <w:ind w:right="683"/>
              <w:spacing w:after="0"/>
              <w:rPr>
                <w:sz w:val="20"/>
                <w:szCs w:val="20"/>
                <w:color w:val="auto"/>
              </w:rPr>
            </w:pPr>
            <w:r>
              <w:rPr>
                <w:rFonts w:ascii="Arial" w:cs="Arial" w:eastAsia="Arial" w:hAnsi="Arial"/>
                <w:sz w:val="11"/>
                <w:szCs w:val="11"/>
                <w:color w:val="auto"/>
              </w:rPr>
              <w:t>$ Change</w:t>
            </w:r>
          </w:p>
        </w:tc>
        <w:tc>
          <w:tcPr>
            <w:tcW w:w="132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color w:val="auto"/>
              </w:rPr>
              <w:t>% Change</w:t>
            </w:r>
          </w:p>
        </w:tc>
      </w:tr>
      <w:tr>
        <w:trPr>
          <w:trHeight w:val="150"/>
        </w:trPr>
        <w:tc>
          <w:tcPr>
            <w:tcW w:w="516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(20,668)</w:t>
            </w:r>
          </w:p>
        </w:tc>
        <w:tc>
          <w:tcPr>
            <w:tcW w:w="3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46,352</w:t>
            </w:r>
          </w:p>
        </w:tc>
        <w:tc>
          <w:tcPr>
            <w:tcW w:w="3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43"/>
              <w:spacing w:after="0"/>
              <w:rPr>
                <w:sz w:val="20"/>
                <w:szCs w:val="20"/>
                <w:color w:val="auto"/>
              </w:rPr>
            </w:pPr>
            <w:r>
              <w:rPr>
                <w:rFonts w:ascii="Arial" w:cs="Arial" w:eastAsia="Arial" w:hAnsi="Arial"/>
                <w:sz w:val="11"/>
                <w:szCs w:val="11"/>
                <w:color w:val="auto"/>
              </w:rPr>
              <w:t>(67,020)</w:t>
            </w:r>
          </w:p>
        </w:tc>
        <w:tc>
          <w:tcPr>
            <w:tcW w:w="1320" w:type="dxa"/>
            <w:vAlign w:val="bottom"/>
          </w:tcPr>
          <w:p>
            <w:pPr>
              <w:jc w:val="right"/>
              <w:spacing w:after="0"/>
              <w:rPr>
                <w:sz w:val="20"/>
                <w:szCs w:val="20"/>
                <w:color w:val="auto"/>
              </w:rPr>
            </w:pPr>
            <w:r>
              <w:rPr>
                <w:rFonts w:ascii="Arial" w:cs="Arial" w:eastAsia="Arial" w:hAnsi="Arial"/>
                <w:sz w:val="11"/>
                <w:szCs w:val="11"/>
                <w:color w:val="auto"/>
              </w:rPr>
              <w:t>(144.6)%</w:t>
            </w:r>
          </w:p>
        </w:tc>
      </w:tr>
    </w:tbl>
    <w:p>
      <w:pPr>
        <w:spacing w:after="0" w:line="234"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The decreases for both the three and six months ended June 30, 2022 compared to the prior year periods were primarily due to period-over-period declines in net revenues in the Medicare—Internal segment, coupled with higher costs associated with a larger agent headcount. Further, the Medicare—External segment experienced growth in net revenue in each period as we expanded our network of external agencies, which increased the amount of expense we recognized pursuant to our revenue-sharing agreements with external agents and other partners.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Our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4"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 xml:space="preserve">We are organized under the following four reportable segments: (1) </w:t>
      </w:r>
      <w:r>
        <w:rPr>
          <w:rFonts w:ascii="Arial" w:cs="Arial" w:eastAsia="Arial" w:hAnsi="Arial"/>
          <w:sz w:val="13"/>
          <w:szCs w:val="13"/>
          <w:b w:val="1"/>
          <w:bCs w:val="1"/>
          <w:color w:val="00497F"/>
        </w:rPr>
        <w:t>Medicare—Internal</w:t>
      </w:r>
      <w:r>
        <w:rPr>
          <w:rFonts w:ascii="Arial" w:cs="Arial" w:eastAsia="Arial" w:hAnsi="Arial"/>
          <w:sz w:val="13"/>
          <w:szCs w:val="13"/>
          <w:color w:val="auto"/>
        </w:rPr>
        <w:t xml:space="preserve">, (2) </w:t>
      </w:r>
      <w:r>
        <w:rPr>
          <w:rFonts w:ascii="Arial" w:cs="Arial" w:eastAsia="Arial" w:hAnsi="Arial"/>
          <w:sz w:val="13"/>
          <w:szCs w:val="13"/>
          <w:b w:val="1"/>
          <w:bCs w:val="1"/>
          <w:color w:val="00497F"/>
        </w:rPr>
        <w:t>Medicare—External</w:t>
      </w:r>
      <w:r>
        <w:rPr>
          <w:rFonts w:ascii="Arial" w:cs="Arial" w:eastAsia="Arial" w:hAnsi="Arial"/>
          <w:sz w:val="13"/>
          <w:szCs w:val="13"/>
          <w:color w:val="auto"/>
        </w:rPr>
        <w:t xml:space="preserve">, (3) </w:t>
      </w:r>
      <w:r>
        <w:rPr>
          <w:rFonts w:ascii="Arial" w:cs="Arial" w:eastAsia="Arial" w:hAnsi="Arial"/>
          <w:sz w:val="13"/>
          <w:szCs w:val="13"/>
          <w:b w:val="1"/>
          <w:bCs w:val="1"/>
          <w:color w:val="00497F"/>
        </w:rPr>
        <w:t>Individual and Family Plans (“IFP”) and Other—Internal</w:t>
      </w:r>
      <w:r>
        <w:rPr>
          <w:rFonts w:ascii="Arial" w:cs="Arial" w:eastAsia="Arial" w:hAnsi="Arial"/>
          <w:sz w:val="13"/>
          <w:szCs w:val="13"/>
          <w:color w:val="auto"/>
        </w:rPr>
        <w:t xml:space="preserve"> and (4) </w:t>
      </w:r>
      <w:r>
        <w:rPr>
          <w:rFonts w:ascii="Arial" w:cs="Arial" w:eastAsia="Arial" w:hAnsi="Arial"/>
          <w:sz w:val="13"/>
          <w:szCs w:val="13"/>
          <w:b w:val="1"/>
          <w:bCs w:val="1"/>
          <w:color w:val="00497F"/>
        </w:rPr>
        <w:t>IFP and</w:t>
      </w:r>
      <w:r>
        <w:rPr>
          <w:rFonts w:ascii="Arial" w:cs="Arial" w:eastAsia="Arial" w:hAnsi="Arial"/>
          <w:sz w:val="13"/>
          <w:szCs w:val="13"/>
          <w:color w:val="auto"/>
        </w:rPr>
        <w:t xml:space="preserve"> </w:t>
      </w:r>
      <w:r>
        <w:rPr>
          <w:rFonts w:ascii="Arial" w:cs="Arial" w:eastAsia="Arial" w:hAnsi="Arial"/>
          <w:sz w:val="13"/>
          <w:szCs w:val="13"/>
          <w:b w:val="1"/>
          <w:bCs w:val="1"/>
          <w:color w:val="00497F"/>
        </w:rPr>
        <w:t>Other—External</w:t>
      </w:r>
      <w:r>
        <w:rPr>
          <w:rFonts w:ascii="Arial" w:cs="Arial" w:eastAsia="Arial" w:hAnsi="Arial"/>
          <w:sz w:val="13"/>
          <w:szCs w:val="13"/>
          <w:color w:val="000000"/>
        </w:rPr>
        <w:t>. The basis for our segmentation is product type and distribution channel. We organize the segments by product type, Medicare and IFP and Other, as well as by distribution channel,</w:t>
      </w:r>
      <w:r>
        <w:rPr>
          <w:rFonts w:ascii="Arial" w:cs="Arial" w:eastAsia="Arial" w:hAnsi="Arial"/>
          <w:sz w:val="13"/>
          <w:szCs w:val="13"/>
          <w:b w:val="1"/>
          <w:bCs w:val="1"/>
          <w:color w:val="00497F"/>
        </w:rPr>
        <w:t xml:space="preserve"> </w:t>
      </w:r>
      <w:r>
        <w:rPr>
          <w:rFonts w:ascii="Arial" w:cs="Arial" w:eastAsia="Arial" w:hAnsi="Arial"/>
          <w:sz w:val="13"/>
          <w:szCs w:val="13"/>
          <w:color w:val="000000"/>
        </w:rPr>
        <w:t>internal and external, as further described below. In addition, we separately report other expenses (classified as “Corporate expenses” in our financial statements), the primary components of which are corporate overhead expenses and shared service expenses that have not been allocated to the operating segments. The segment results provided herein may not be comparable to other companies. We refer to the Medicare—Internal and Medicare—External segments collectively as the “Medicare segments” and the IFP and Other—Internal and IFP and Other—External segments as the “IFP and Other segments.”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30</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3"/>
        </w:trPr>
        <w:tc>
          <w:tcPr>
            <w:tcW w:w="5260" w:type="dxa"/>
            <w:vAlign w:val="bottom"/>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ind w:left="380"/>
              <w:spacing w:after="0"/>
              <w:rPr>
                <w:sz w:val="20"/>
                <w:szCs w:val="20"/>
                <w:color w:val="auto"/>
              </w:rPr>
            </w:pPr>
            <w:r>
              <w:rPr>
                <w:rFonts w:ascii="Arial" w:cs="Arial" w:eastAsia="Arial" w:hAnsi="Arial"/>
                <w:sz w:val="11"/>
                <w:szCs w:val="11"/>
                <w:color w:val="auto"/>
              </w:rPr>
              <w:t>Three months ended Jun. 30,</w:t>
            </w:r>
          </w:p>
        </w:tc>
        <w:tc>
          <w:tcPr>
            <w:tcW w:w="320" w:type="dxa"/>
            <w:vAlign w:val="bottom"/>
          </w:tcPr>
          <w:p>
            <w:pPr>
              <w:spacing w:after="0"/>
              <w:rPr>
                <w:sz w:val="14"/>
                <w:szCs w:val="14"/>
                <w:color w:val="auto"/>
              </w:rPr>
            </w:pPr>
          </w:p>
        </w:tc>
        <w:tc>
          <w:tcPr>
            <w:tcW w:w="2600" w:type="dxa"/>
            <w:vAlign w:val="bottom"/>
            <w:gridSpan w:val="4"/>
          </w:tcPr>
          <w:p>
            <w:pPr>
              <w:jc w:val="right"/>
              <w:ind w:right="743"/>
              <w:spacing w:after="0"/>
              <w:rPr>
                <w:sz w:val="20"/>
                <w:szCs w:val="20"/>
                <w:color w:val="auto"/>
              </w:rPr>
            </w:pPr>
            <w:r>
              <w:rPr>
                <w:rFonts w:ascii="Arial" w:cs="Arial" w:eastAsia="Arial" w:hAnsi="Arial"/>
                <w:sz w:val="11"/>
                <w:szCs w:val="11"/>
                <w:color w:val="auto"/>
              </w:rPr>
              <w:t>Six months ended Jun. 30,</w:t>
            </w:r>
          </w:p>
        </w:tc>
      </w:tr>
      <w:tr>
        <w:trPr>
          <w:trHeight w:val="152"/>
        </w:trPr>
        <w:tc>
          <w:tcPr>
            <w:tcW w:w="526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(in thousands)</w:t>
            </w: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08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929292"/>
            </w:tcBorders>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08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10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929292"/>
            </w:tcBorders>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08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2021</w:t>
            </w:r>
          </w:p>
        </w:tc>
      </w:tr>
      <w:tr>
        <w:trPr>
          <w:trHeight w:val="147"/>
        </w:trPr>
        <w:tc>
          <w:tcPr>
            <w:tcW w:w="5260" w:type="dxa"/>
            <w:vAlign w:val="bottom"/>
          </w:tcPr>
          <w:p>
            <w:pPr>
              <w:ind w:left="20"/>
              <w:spacing w:after="0"/>
              <w:rPr>
                <w:sz w:val="20"/>
                <w:szCs w:val="20"/>
                <w:color w:val="auto"/>
              </w:rPr>
            </w:pPr>
            <w:r>
              <w:rPr>
                <w:rFonts w:ascii="Arial" w:cs="Arial" w:eastAsia="Arial" w:hAnsi="Arial"/>
                <w:sz w:val="11"/>
                <w:szCs w:val="11"/>
                <w:i w:val="1"/>
                <w:iCs w:val="1"/>
                <w:color w:val="auto"/>
              </w:rPr>
              <w:t>Net revenues:</w:t>
            </w:r>
          </w:p>
        </w:tc>
        <w:tc>
          <w:tcPr>
            <w:tcW w:w="80" w:type="dxa"/>
            <w:vAlign w:val="bottom"/>
            <w:shd w:val="clear" w:color="auto" w:fill="929292"/>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59"/>
        </w:trPr>
        <w:tc>
          <w:tcPr>
            <w:tcW w:w="5260" w:type="dxa"/>
            <w:vAlign w:val="bottom"/>
          </w:tcPr>
          <w:p>
            <w:pPr>
              <w:ind w:left="180"/>
              <w:spacing w:after="0"/>
              <w:rPr>
                <w:sz w:val="20"/>
                <w:szCs w:val="20"/>
                <w:color w:val="auto"/>
              </w:rPr>
            </w:pPr>
            <w:r>
              <w:rPr>
                <w:rFonts w:ascii="Arial" w:cs="Arial" w:eastAsia="Arial" w:hAnsi="Arial"/>
                <w:sz w:val="11"/>
                <w:szCs w:val="11"/>
                <w:color w:val="auto"/>
              </w:rPr>
              <w:t>Medicare—Internal</w:t>
            </w:r>
          </w:p>
        </w:tc>
        <w:tc>
          <w:tcPr>
            <w:tcW w:w="8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103,685</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160,433</w:t>
            </w:r>
          </w:p>
        </w:tc>
        <w:tc>
          <w:tcPr>
            <w:tcW w:w="10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307,530</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317,786</w:t>
            </w:r>
          </w:p>
        </w:tc>
      </w:tr>
      <w:tr>
        <w:trPr>
          <w:trHeight w:val="159"/>
        </w:trPr>
        <w:tc>
          <w:tcPr>
            <w:tcW w:w="5260" w:type="dxa"/>
            <w:vAlign w:val="bottom"/>
          </w:tcPr>
          <w:p>
            <w:pPr>
              <w:ind w:left="180"/>
              <w:spacing w:after="0"/>
              <w:rPr>
                <w:sz w:val="20"/>
                <w:szCs w:val="20"/>
                <w:color w:val="auto"/>
              </w:rPr>
            </w:pPr>
            <w:r>
              <w:rPr>
                <w:rFonts w:ascii="Arial" w:cs="Arial" w:eastAsia="Arial" w:hAnsi="Arial"/>
                <w:sz w:val="11"/>
                <w:szCs w:val="11"/>
                <w:color w:val="auto"/>
              </w:rPr>
              <w:t>Medicare—External</w:t>
            </w: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50,103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31,379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111,589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70,879</w:t>
            </w:r>
          </w:p>
        </w:tc>
      </w:tr>
      <w:tr>
        <w:trPr>
          <w:trHeight w:val="159"/>
        </w:trPr>
        <w:tc>
          <w:tcPr>
            <w:tcW w:w="5260" w:type="dxa"/>
            <w:vAlign w:val="bottom"/>
          </w:tcPr>
          <w:p>
            <w:pPr>
              <w:ind w:left="180"/>
              <w:spacing w:after="0"/>
              <w:rPr>
                <w:sz w:val="20"/>
                <w:szCs w:val="20"/>
                <w:color w:val="auto"/>
              </w:rPr>
            </w:pPr>
            <w:r>
              <w:rPr>
                <w:rFonts w:ascii="Arial" w:cs="Arial" w:eastAsia="Arial" w:hAnsi="Arial"/>
                <w:sz w:val="11"/>
                <w:szCs w:val="11"/>
                <w:color w:val="auto"/>
              </w:rPr>
              <w:t>IFP and Other—Internal</w:t>
            </w: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4,245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3,788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8,445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7,763</w:t>
            </w:r>
          </w:p>
        </w:tc>
      </w:tr>
      <w:tr>
        <w:trPr>
          <w:trHeight w:val="159"/>
        </w:trPr>
        <w:tc>
          <w:tcPr>
            <w:tcW w:w="5260" w:type="dxa"/>
            <w:vAlign w:val="bottom"/>
          </w:tcPr>
          <w:p>
            <w:pPr>
              <w:ind w:left="180"/>
              <w:spacing w:after="0"/>
              <w:rPr>
                <w:sz w:val="20"/>
                <w:szCs w:val="20"/>
                <w:color w:val="auto"/>
              </w:rPr>
            </w:pPr>
            <w:r>
              <w:rPr>
                <w:rFonts w:ascii="Arial" w:cs="Arial" w:eastAsia="Arial" w:hAnsi="Arial"/>
                <w:sz w:val="11"/>
                <w:szCs w:val="11"/>
                <w:color w:val="auto"/>
              </w:rPr>
              <w:t>IFP and Other—External</w:t>
            </w: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621</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1,302</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1,683</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4,653</w:t>
            </w:r>
          </w:p>
        </w:tc>
      </w:tr>
      <w:tr>
        <w:trPr>
          <w:trHeight w:val="150"/>
        </w:trPr>
        <w:tc>
          <w:tcPr>
            <w:tcW w:w="5260" w:type="dxa"/>
            <w:vAlign w:val="bottom"/>
          </w:tcPr>
          <w:p>
            <w:pPr>
              <w:ind w:left="20"/>
              <w:spacing w:after="0"/>
              <w:rPr>
                <w:sz w:val="20"/>
                <w:szCs w:val="20"/>
                <w:color w:val="auto"/>
              </w:rPr>
            </w:pPr>
            <w:r>
              <w:rPr>
                <w:rFonts w:ascii="Arial" w:cs="Arial" w:eastAsia="Arial" w:hAnsi="Arial"/>
                <w:sz w:val="11"/>
                <w:szCs w:val="11"/>
                <w:color w:val="auto"/>
              </w:rPr>
              <w:t>Net revenues</w:t>
            </w: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158,654</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196,902</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429,247</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401,081</w:t>
            </w:r>
          </w:p>
        </w:tc>
      </w:tr>
      <w:tr>
        <w:trPr>
          <w:trHeight w:val="139"/>
        </w:trPr>
        <w:tc>
          <w:tcPr>
            <w:tcW w:w="5260" w:type="dxa"/>
            <w:vAlign w:val="bottom"/>
          </w:tcPr>
          <w:p>
            <w:pPr>
              <w:ind w:left="20"/>
              <w:spacing w:after="0"/>
              <w:rPr>
                <w:sz w:val="20"/>
                <w:szCs w:val="20"/>
                <w:color w:val="auto"/>
              </w:rPr>
            </w:pPr>
            <w:r>
              <w:rPr>
                <w:rFonts w:ascii="Arial" w:cs="Arial" w:eastAsia="Arial" w:hAnsi="Arial"/>
                <w:sz w:val="11"/>
                <w:szCs w:val="11"/>
                <w:i w:val="1"/>
                <w:iCs w:val="1"/>
                <w:color w:val="auto"/>
              </w:rPr>
              <w:t>Segment profit (loss):</w:t>
            </w:r>
          </w:p>
        </w:tc>
        <w:tc>
          <w:tcPr>
            <w:tcW w:w="80" w:type="dxa"/>
            <w:vAlign w:val="bottom"/>
            <w:shd w:val="clear" w:color="auto" w:fill="929292"/>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59"/>
        </w:trPr>
        <w:tc>
          <w:tcPr>
            <w:tcW w:w="5260" w:type="dxa"/>
            <w:vAlign w:val="bottom"/>
          </w:tcPr>
          <w:p>
            <w:pPr>
              <w:ind w:left="180"/>
              <w:spacing w:after="0"/>
              <w:rPr>
                <w:sz w:val="20"/>
                <w:szCs w:val="20"/>
                <w:color w:val="auto"/>
              </w:rPr>
            </w:pPr>
            <w:r>
              <w:rPr>
                <w:rFonts w:ascii="Arial" w:cs="Arial" w:eastAsia="Arial" w:hAnsi="Arial"/>
                <w:sz w:val="11"/>
                <w:szCs w:val="11"/>
                <w:color w:val="auto"/>
              </w:rPr>
              <w:t>Medicare—Internal</w:t>
            </w: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(11,040)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31,257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23,799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77,700</w:t>
            </w:r>
          </w:p>
        </w:tc>
      </w:tr>
      <w:tr>
        <w:trPr>
          <w:trHeight w:val="159"/>
        </w:trPr>
        <w:tc>
          <w:tcPr>
            <w:tcW w:w="5260" w:type="dxa"/>
            <w:vAlign w:val="bottom"/>
          </w:tcPr>
          <w:p>
            <w:pPr>
              <w:ind w:left="180"/>
              <w:spacing w:after="0"/>
              <w:rPr>
                <w:sz w:val="20"/>
                <w:szCs w:val="20"/>
                <w:color w:val="auto"/>
              </w:rPr>
            </w:pPr>
            <w:r>
              <w:rPr>
                <w:rFonts w:ascii="Arial" w:cs="Arial" w:eastAsia="Arial" w:hAnsi="Arial"/>
                <w:sz w:val="11"/>
                <w:szCs w:val="11"/>
                <w:color w:val="auto"/>
              </w:rPr>
              <w:t>Medicare—External</w:t>
            </w: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(5,635)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(1,688)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(13,428)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(2,319)</w:t>
            </w:r>
          </w:p>
        </w:tc>
      </w:tr>
      <w:tr>
        <w:trPr>
          <w:trHeight w:val="159"/>
        </w:trPr>
        <w:tc>
          <w:tcPr>
            <w:tcW w:w="5260" w:type="dxa"/>
            <w:vAlign w:val="bottom"/>
          </w:tcPr>
          <w:p>
            <w:pPr>
              <w:ind w:left="180"/>
              <w:spacing w:after="0"/>
              <w:rPr>
                <w:sz w:val="20"/>
                <w:szCs w:val="20"/>
                <w:color w:val="auto"/>
              </w:rPr>
            </w:pPr>
            <w:r>
              <w:rPr>
                <w:rFonts w:ascii="Arial" w:cs="Arial" w:eastAsia="Arial" w:hAnsi="Arial"/>
                <w:sz w:val="11"/>
                <w:szCs w:val="11"/>
                <w:color w:val="auto"/>
              </w:rPr>
              <w:t>IFP and Other—Internal</w:t>
            </w: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1,582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(800)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2,172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(1,529)</w:t>
            </w:r>
          </w:p>
        </w:tc>
      </w:tr>
      <w:tr>
        <w:trPr>
          <w:trHeight w:val="159"/>
        </w:trPr>
        <w:tc>
          <w:tcPr>
            <w:tcW w:w="5260" w:type="dxa"/>
            <w:vAlign w:val="bottom"/>
          </w:tcPr>
          <w:p>
            <w:pPr>
              <w:ind w:left="180"/>
              <w:spacing w:after="0"/>
              <w:rPr>
                <w:sz w:val="20"/>
                <w:szCs w:val="20"/>
                <w:color w:val="auto"/>
              </w:rPr>
            </w:pPr>
            <w:r>
              <w:rPr>
                <w:rFonts w:ascii="Arial" w:cs="Arial" w:eastAsia="Arial" w:hAnsi="Arial"/>
                <w:sz w:val="11"/>
                <w:szCs w:val="11"/>
                <w:color w:val="auto"/>
              </w:rPr>
              <w:t>IFP and Other—External</w:t>
            </w: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(411)</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(669)</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103</w:t>
            </w:r>
          </w:p>
        </w:tc>
      </w:tr>
      <w:tr>
        <w:trPr>
          <w:trHeight w:val="150"/>
        </w:trPr>
        <w:tc>
          <w:tcPr>
            <w:tcW w:w="5260" w:type="dxa"/>
            <w:vAlign w:val="bottom"/>
          </w:tcPr>
          <w:p>
            <w:pPr>
              <w:ind w:left="20"/>
              <w:spacing w:after="0"/>
              <w:rPr>
                <w:sz w:val="20"/>
                <w:szCs w:val="20"/>
                <w:color w:val="auto"/>
              </w:rPr>
            </w:pPr>
            <w:r>
              <w:rPr>
                <w:rFonts w:ascii="Arial" w:cs="Arial" w:eastAsia="Arial" w:hAnsi="Arial"/>
                <w:sz w:val="11"/>
                <w:szCs w:val="11"/>
                <w:color w:val="auto"/>
              </w:rPr>
              <w:t>Segment profit (loss)</w:t>
            </w: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(15,504)</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28,712</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11,874</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73,955</w:t>
            </w:r>
          </w:p>
        </w:tc>
      </w:tr>
      <w:tr>
        <w:trPr>
          <w:trHeight w:val="150"/>
        </w:trPr>
        <w:tc>
          <w:tcPr>
            <w:tcW w:w="5260" w:type="dxa"/>
            <w:vAlign w:val="bottom"/>
          </w:tcPr>
          <w:p>
            <w:pPr>
              <w:ind w:left="180"/>
              <w:spacing w:after="0"/>
              <w:rPr>
                <w:sz w:val="20"/>
                <w:szCs w:val="20"/>
                <w:color w:val="auto"/>
              </w:rPr>
            </w:pPr>
            <w:r>
              <w:rPr>
                <w:rFonts w:ascii="Arial" w:cs="Arial" w:eastAsia="Arial" w:hAnsi="Arial"/>
                <w:sz w:val="11"/>
                <w:szCs w:val="11"/>
                <w:color w:val="auto"/>
              </w:rPr>
              <w:t>Corporate expense</w:t>
            </w: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37,027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24,194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66,199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44,513</w:t>
            </w:r>
          </w:p>
        </w:tc>
      </w:tr>
      <w:tr>
        <w:trPr>
          <w:trHeight w:val="159"/>
        </w:trPr>
        <w:tc>
          <w:tcPr>
            <w:tcW w:w="5260" w:type="dxa"/>
            <w:vAlign w:val="bottom"/>
          </w:tcPr>
          <w:p>
            <w:pPr>
              <w:ind w:left="180"/>
              <w:spacing w:after="0"/>
              <w:rPr>
                <w:sz w:val="20"/>
                <w:szCs w:val="20"/>
                <w:color w:val="auto"/>
              </w:rPr>
            </w:pPr>
            <w:r>
              <w:rPr>
                <w:rFonts w:ascii="Arial" w:cs="Arial" w:eastAsia="Arial" w:hAnsi="Arial"/>
                <w:sz w:val="11"/>
                <w:szCs w:val="11"/>
                <w:color w:val="auto"/>
              </w:rPr>
              <w:t>Amortization of intangible assets</w:t>
            </w: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23,515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23,515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47,029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47,029</w:t>
            </w:r>
          </w:p>
        </w:tc>
      </w:tr>
      <w:tr>
        <w:trPr>
          <w:trHeight w:val="166"/>
        </w:trPr>
        <w:tc>
          <w:tcPr>
            <w:tcW w:w="5260" w:type="dxa"/>
            <w:vAlign w:val="bottom"/>
          </w:tcPr>
          <w:p>
            <w:pPr>
              <w:ind w:left="180"/>
              <w:spacing w:after="0"/>
              <w:rPr>
                <w:sz w:val="20"/>
                <w:szCs w:val="20"/>
                <w:color w:val="auto"/>
              </w:rPr>
            </w:pPr>
            <w:r>
              <w:rPr>
                <w:rFonts w:ascii="Arial" w:cs="Arial" w:eastAsia="Arial" w:hAnsi="Arial"/>
                <w:sz w:val="11"/>
                <w:szCs w:val="11"/>
                <w:color w:val="auto"/>
              </w:rPr>
              <w:t>Operating lease impairment charges</w:t>
            </w: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24,995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24,995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153"/>
        </w:trPr>
        <w:tc>
          <w:tcPr>
            <w:tcW w:w="5260" w:type="dxa"/>
            <w:vAlign w:val="bottom"/>
          </w:tcPr>
          <w:p>
            <w:pPr>
              <w:ind w:left="180"/>
              <w:spacing w:after="0"/>
              <w:rPr>
                <w:sz w:val="20"/>
                <w:szCs w:val="20"/>
                <w:color w:val="auto"/>
              </w:rPr>
            </w:pPr>
            <w:r>
              <w:rPr>
                <w:rFonts w:ascii="Arial" w:cs="Arial" w:eastAsia="Arial" w:hAnsi="Arial"/>
                <w:sz w:val="11"/>
                <w:szCs w:val="11"/>
                <w:color w:val="auto"/>
              </w:rPr>
              <w:t>Loss on extinguishment of debt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11,935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11,935</w:t>
            </w:r>
          </w:p>
        </w:tc>
      </w:tr>
      <w:tr>
        <w:trPr>
          <w:trHeight w:val="159"/>
        </w:trPr>
        <w:tc>
          <w:tcPr>
            <w:tcW w:w="5260" w:type="dxa"/>
            <w:vAlign w:val="bottom"/>
          </w:tcPr>
          <w:p>
            <w:pPr>
              <w:ind w:left="180"/>
              <w:spacing w:after="0"/>
              <w:rPr>
                <w:sz w:val="20"/>
                <w:szCs w:val="20"/>
                <w:color w:val="auto"/>
              </w:rPr>
            </w:pPr>
            <w:r>
              <w:rPr>
                <w:rFonts w:ascii="Arial" w:cs="Arial" w:eastAsia="Arial" w:hAnsi="Arial"/>
                <w:sz w:val="11"/>
                <w:szCs w:val="11"/>
                <w:color w:val="auto"/>
              </w:rPr>
              <w:t>Interest expense</w:t>
            </w: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12,724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8,277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24,122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16,965</w:t>
            </w:r>
          </w:p>
        </w:tc>
      </w:tr>
      <w:tr>
        <w:trPr>
          <w:trHeight w:val="162"/>
        </w:trPr>
        <w:tc>
          <w:tcPr>
            <w:tcW w:w="5260" w:type="dxa"/>
            <w:vAlign w:val="bottom"/>
          </w:tcPr>
          <w:p>
            <w:pPr>
              <w:ind w:left="180"/>
              <w:spacing w:after="0"/>
              <w:rPr>
                <w:sz w:val="20"/>
                <w:szCs w:val="20"/>
                <w:color w:val="auto"/>
              </w:rPr>
            </w:pPr>
            <w:r>
              <w:rPr>
                <w:rFonts w:ascii="Arial" w:cs="Arial" w:eastAsia="Arial" w:hAnsi="Arial"/>
                <w:sz w:val="11"/>
                <w:szCs w:val="11"/>
                <w:color w:val="auto"/>
              </w:rPr>
              <w:t>Other (income) expense, net</w:t>
            </w: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57</w:t>
            </w:r>
          </w:p>
        </w:tc>
      </w:tr>
      <w:tr>
        <w:trPr>
          <w:trHeight w:val="173"/>
        </w:trPr>
        <w:tc>
          <w:tcPr>
            <w:tcW w:w="526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80" w:type="dxa"/>
            <w:vAlign w:val="bottom"/>
            <w:tcBorders>
              <w:bottom w:val="single" w:sz="8" w:color="929292"/>
            </w:tcBorders>
            <w:shd w:val="clear" w:color="auto" w:fill="929292"/>
          </w:tcPr>
          <w:p>
            <w:pPr>
              <w:spacing w:after="0"/>
              <w:rPr>
                <w:sz w:val="15"/>
                <w:szCs w:val="15"/>
                <w:color w:val="auto"/>
              </w:rPr>
            </w:pP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(113,752)</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(39,253)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(150,521)</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(46,544)</w:t>
            </w:r>
          </w:p>
        </w:tc>
      </w:tr>
      <w:tr>
        <w:trPr>
          <w:trHeight w:val="20"/>
        </w:trPr>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Medicare-Internal Segment</w:t>
      </w:r>
    </w:p>
    <w:p>
      <w:pPr>
        <w:spacing w:after="0" w:line="243" w:lineRule="exact"/>
        <w:rPr>
          <w:sz w:val="20"/>
          <w:szCs w:val="20"/>
          <w:color w:val="auto"/>
        </w:rPr>
      </w:pPr>
    </w:p>
    <w:p>
      <w:pPr>
        <w:ind w:right="180"/>
        <w:spacing w:after="0" w:line="253" w:lineRule="auto"/>
        <w:rPr>
          <w:sz w:val="20"/>
          <w:szCs w:val="20"/>
          <w:color w:val="auto"/>
        </w:rPr>
      </w:pPr>
      <w:r>
        <w:rPr>
          <w:rFonts w:ascii="Arial" w:cs="Arial" w:eastAsia="Arial" w:hAnsi="Arial"/>
          <w:sz w:val="13"/>
          <w:szCs w:val="13"/>
          <w:color w:val="auto"/>
        </w:rPr>
        <w:t>The Medicare—Internal segment relates to sales of products and plans by GoHealth-employed agents offering qualified prospects plans from multiple carriers, GoHealth-employed agents offering qualified prospects plans on a carrier-specific basis, or sales of products and plans through our online platform without the assistance of our agents, which we refer to as DIY. In this segment, we sell Medicare Advantage, Medicare Supplement, Medicare prescription drug plans, and Medicare Special Needs Plans, or SNPs. We earn revenue in this segment through commissions paid by carriers based on sales we generated, as well as enrollment fees, hourly fees and other fees for services performed for specific carriers and other partners.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c>
          <w:tcPr>
            <w:tcW w:w="0" w:type="dxa"/>
            <w:vAlign w:val="bottom"/>
          </w:tcPr>
          <w:p>
            <w:pPr>
              <w:spacing w:after="0"/>
              <w:rPr>
                <w:sz w:val="1"/>
                <w:szCs w:val="1"/>
                <w:color w:val="auto"/>
              </w:rPr>
            </w:pPr>
          </w:p>
        </w:tc>
      </w:tr>
      <w:tr>
        <w:trPr>
          <w:trHeight w:val="165"/>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c>
          <w:tcPr>
            <w:tcW w:w="0" w:type="dxa"/>
            <w:vAlign w:val="bottom"/>
          </w:tcPr>
          <w:p>
            <w:pPr>
              <w:spacing w:after="0"/>
              <w:rPr>
                <w:sz w:val="1"/>
                <w:szCs w:val="1"/>
                <w:color w:val="auto"/>
              </w:rPr>
            </w:pPr>
          </w:p>
        </w:tc>
      </w:tr>
      <w:tr>
        <w:trPr>
          <w:trHeight w:val="150"/>
        </w:trPr>
        <w:tc>
          <w:tcPr>
            <w:tcW w:w="2580" w:type="dxa"/>
            <w:vAlign w:val="bottom"/>
            <w:tcBorders>
              <w:left w:val="single" w:sz="8" w:color="929292"/>
            </w:tcBorders>
            <w:vMerge w:val="restart"/>
          </w:tcPr>
          <w:p>
            <w:pPr>
              <w:jc w:val="center"/>
              <w:spacing w:after="0"/>
              <w:rPr>
                <w:sz w:val="20"/>
                <w:szCs w:val="20"/>
                <w:color w:val="auto"/>
              </w:rPr>
            </w:pPr>
            <w:r>
              <w:rPr>
                <w:rFonts w:ascii="Arial" w:cs="Arial" w:eastAsia="Arial" w:hAnsi="Arial"/>
                <w:sz w:val="11"/>
                <w:szCs w:val="11"/>
                <w:b w:val="1"/>
                <w:bCs w:val="1"/>
                <w:color w:val="00497F"/>
              </w:rPr>
              <w:t>Medicare—Internal</w:t>
            </w:r>
          </w:p>
        </w:tc>
        <w:tc>
          <w:tcPr>
            <w:tcW w:w="8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103,685</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160,433</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43"/>
              <w:spacing w:after="0"/>
              <w:rPr>
                <w:sz w:val="20"/>
                <w:szCs w:val="20"/>
                <w:color w:val="auto"/>
              </w:rPr>
            </w:pPr>
            <w:r>
              <w:rPr>
                <w:rFonts w:ascii="Arial" w:cs="Arial" w:eastAsia="Arial" w:hAnsi="Arial"/>
                <w:sz w:val="11"/>
                <w:szCs w:val="11"/>
                <w:color w:val="auto"/>
              </w:rPr>
              <w:t>(56,748)</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(35.4)%</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65.5%</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81.4%</w:t>
            </w:r>
          </w:p>
        </w:tc>
        <w:tc>
          <w:tcPr>
            <w:tcW w:w="0" w:type="dxa"/>
            <w:vAlign w:val="bottom"/>
          </w:tcPr>
          <w:p>
            <w:pPr>
              <w:spacing w:after="0"/>
              <w:rPr>
                <w:sz w:val="1"/>
                <w:szCs w:val="1"/>
                <w:color w:val="auto"/>
              </w:rPr>
            </w:pPr>
          </w:p>
        </w:tc>
      </w:tr>
      <w:tr>
        <w:trPr>
          <w:trHeight w:val="85"/>
        </w:trPr>
        <w:tc>
          <w:tcPr>
            <w:tcW w:w="2580" w:type="dxa"/>
            <w:vAlign w:val="bottom"/>
            <w:tcBorders>
              <w:left w:val="single" w:sz="8" w:color="929292"/>
            </w:tcBorders>
            <w:vMerge w:val="continue"/>
          </w:tcPr>
          <w:p>
            <w:pPr>
              <w:spacing w:after="0"/>
              <w:rPr>
                <w:sz w:val="7"/>
                <w:szCs w:val="7"/>
                <w:color w:val="auto"/>
              </w:rPr>
            </w:pPr>
          </w:p>
        </w:tc>
        <w:tc>
          <w:tcPr>
            <w:tcW w:w="80" w:type="dxa"/>
            <w:vAlign w:val="bottom"/>
            <w:shd w:val="clear" w:color="auto" w:fill="929292"/>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60" w:type="dxa"/>
            <w:vAlign w:val="bottom"/>
            <w:shd w:val="clear" w:color="auto" w:fill="929292"/>
          </w:tcPr>
          <w:p>
            <w:pPr>
              <w:spacing w:after="0"/>
              <w:rPr>
                <w:sz w:val="7"/>
                <w:szCs w:val="7"/>
                <w:color w:val="auto"/>
              </w:rPr>
            </w:pPr>
          </w:p>
        </w:tc>
        <w:tc>
          <w:tcPr>
            <w:tcW w:w="1260" w:type="dxa"/>
            <w:vAlign w:val="bottom"/>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580" w:type="dxa"/>
            <w:vAlign w:val="bottom"/>
            <w:tcBorders>
              <w:left w:val="single" w:sz="8" w:color="929292"/>
            </w:tcBorders>
          </w:tcPr>
          <w:p>
            <w:pPr>
              <w:jc w:val="center"/>
              <w:spacing w:after="0"/>
              <w:rPr>
                <w:sz w:val="20"/>
                <w:szCs w:val="20"/>
                <w:color w:val="auto"/>
              </w:rPr>
            </w:pPr>
            <w:r>
              <w:rPr>
                <w:rFonts w:ascii="Arial" w:cs="Arial" w:eastAsia="Arial" w:hAnsi="Arial"/>
                <w:sz w:val="11"/>
                <w:szCs w:val="11"/>
                <w:color w:val="00497F"/>
              </w:rPr>
              <w:t>Net Revenues</w:t>
            </w:r>
          </w:p>
        </w:tc>
        <w:tc>
          <w:tcPr>
            <w:tcW w:w="80" w:type="dxa"/>
            <w:vAlign w:val="bottom"/>
            <w:shd w:val="clear" w:color="auto" w:fill="929292"/>
          </w:tcPr>
          <w:p>
            <w:pPr>
              <w:spacing w:after="0"/>
              <w:rPr>
                <w:sz w:val="12"/>
                <w:szCs w:val="12"/>
                <w:color w:val="auto"/>
              </w:rPr>
            </w:pPr>
          </w:p>
        </w:tc>
        <w:tc>
          <w:tcPr>
            <w:tcW w:w="340" w:type="dxa"/>
            <w:vAlign w:val="bottom"/>
          </w:tcPr>
          <w:p>
            <w:pPr>
              <w:spacing w:after="0"/>
              <w:rPr>
                <w:sz w:val="12"/>
                <w:szCs w:val="12"/>
                <w:color w:val="auto"/>
              </w:rPr>
            </w:pPr>
          </w:p>
        </w:tc>
        <w:tc>
          <w:tcPr>
            <w:tcW w:w="2600" w:type="dxa"/>
            <w:vAlign w:val="bottom"/>
            <w:gridSpan w:val="3"/>
            <w:vMerge w:val="restart"/>
          </w:tcPr>
          <w:p>
            <w:pPr>
              <w:jc w:val="right"/>
              <w:ind w:right="743"/>
              <w:spacing w:after="0"/>
              <w:rPr>
                <w:sz w:val="20"/>
                <w:szCs w:val="20"/>
                <w:color w:val="auto"/>
              </w:rPr>
            </w:pPr>
            <w:r>
              <w:rPr>
                <w:rFonts w:ascii="Arial" w:cs="Arial" w:eastAsia="Arial" w:hAnsi="Arial"/>
                <w:sz w:val="11"/>
                <w:szCs w:val="11"/>
                <w:color w:val="auto"/>
              </w:rPr>
              <w:t>Six months ended Jun. 30,</w:t>
            </w: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520" w:type="dxa"/>
            <w:vAlign w:val="bottom"/>
            <w:gridSpan w:val="2"/>
            <w:vMerge w:val="restart"/>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c>
          <w:tcPr>
            <w:tcW w:w="0" w:type="dxa"/>
            <w:vAlign w:val="bottom"/>
          </w:tcPr>
          <w:p>
            <w:pPr>
              <w:spacing w:after="0"/>
              <w:rPr>
                <w:sz w:val="1"/>
                <w:szCs w:val="1"/>
                <w:color w:val="auto"/>
              </w:rPr>
            </w:pPr>
          </w:p>
        </w:tc>
      </w:tr>
      <w:tr>
        <w:trPr>
          <w:trHeight w:val="106"/>
        </w:trPr>
        <w:tc>
          <w:tcPr>
            <w:tcW w:w="2580" w:type="dxa"/>
            <w:vAlign w:val="bottom"/>
            <w:tcBorders>
              <w:left w:val="single" w:sz="8" w:color="929292"/>
            </w:tcBorders>
          </w:tcPr>
          <w:p>
            <w:pPr>
              <w:spacing w:after="0"/>
              <w:rPr>
                <w:sz w:val="9"/>
                <w:szCs w:val="9"/>
                <w:color w:val="auto"/>
              </w:rPr>
            </w:pPr>
          </w:p>
        </w:tc>
        <w:tc>
          <w:tcPr>
            <w:tcW w:w="80" w:type="dxa"/>
            <w:vAlign w:val="bottom"/>
            <w:shd w:val="clear" w:color="auto" w:fill="929292"/>
          </w:tcPr>
          <w:p>
            <w:pPr>
              <w:spacing w:after="0"/>
              <w:rPr>
                <w:sz w:val="9"/>
                <w:szCs w:val="9"/>
                <w:color w:val="auto"/>
              </w:rPr>
            </w:pPr>
          </w:p>
        </w:tc>
        <w:tc>
          <w:tcPr>
            <w:tcW w:w="34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520" w:type="dxa"/>
            <w:vAlign w:val="bottom"/>
            <w:gridSpan w:val="2"/>
            <w:vMerge w:val="continue"/>
            <w:shd w:val="clear" w:color="auto" w:fill="929292"/>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c>
          <w:tcPr>
            <w:tcW w:w="0" w:type="dxa"/>
            <w:vAlign w:val="bottom"/>
          </w:tcPr>
          <w:p>
            <w:pPr>
              <w:spacing w:after="0"/>
              <w:rPr>
                <w:sz w:val="1"/>
                <w:szCs w:val="1"/>
                <w:color w:val="auto"/>
              </w:rPr>
            </w:pPr>
          </w:p>
        </w:tc>
      </w:tr>
      <w:tr>
        <w:trPr>
          <w:trHeight w:val="153"/>
        </w:trPr>
        <w:tc>
          <w:tcPr>
            <w:tcW w:w="258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307,530</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317,786</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43"/>
              <w:spacing w:after="0"/>
              <w:rPr>
                <w:sz w:val="20"/>
                <w:szCs w:val="20"/>
                <w:color w:val="auto"/>
              </w:rPr>
            </w:pPr>
            <w:r>
              <w:rPr>
                <w:rFonts w:ascii="Arial" w:cs="Arial" w:eastAsia="Arial" w:hAnsi="Arial"/>
                <w:sz w:val="11"/>
                <w:szCs w:val="11"/>
                <w:color w:val="auto"/>
              </w:rPr>
              <w:t>(10,256)</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(3.2)%</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71.7%</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79.2%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97025" cy="698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-544830</wp:posOffset>
            </wp:positionV>
            <wp:extent cx="159702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14" w:lineRule="exact"/>
        <w:rPr>
          <w:sz w:val="20"/>
          <w:szCs w:val="20"/>
          <w:color w:val="auto"/>
        </w:rPr>
      </w:pPr>
    </w:p>
    <w:p>
      <w:pPr>
        <w:ind w:right="100"/>
        <w:spacing w:after="0" w:line="253" w:lineRule="auto"/>
        <w:rPr>
          <w:sz w:val="20"/>
          <w:szCs w:val="20"/>
          <w:color w:val="auto"/>
        </w:rPr>
      </w:pPr>
      <w:r>
        <w:rPr>
          <w:rFonts w:ascii="Arial" w:cs="Arial" w:eastAsia="Arial" w:hAnsi="Arial"/>
          <w:sz w:val="13"/>
          <w:szCs w:val="13"/>
          <w:color w:val="auto"/>
        </w:rPr>
        <w:t>The decrease for the three months ended June 30, 2022 compared to the prior year period was primarily attributable to a 23% decrease in commissionable Approved Submissions in the Medicare— Internal segment resulting from our strategic focus on cash flow optimization, which was driven by a 19.8% decline in marketing and advertising expense. The decrease for the six months ended June 30, 2022 compared to the prior year period was primarily driven by our strategic focus on cash flow optimization, partially offset by a $29.5 million and 54.2% incremental marketing and advertising spend in the first quarter of 2022 relative to the prior year period to capitalize on the Medicare Advantage Open Enrollment Period.</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580"/>
              <w:spacing w:after="0"/>
              <w:rPr>
                <w:sz w:val="20"/>
                <w:szCs w:val="20"/>
                <w:color w:val="auto"/>
              </w:rPr>
            </w:pPr>
            <w:r>
              <w:rPr>
                <w:rFonts w:ascii="Arial" w:cs="Arial" w:eastAsia="Arial" w:hAnsi="Arial"/>
                <w:sz w:val="11"/>
                <w:szCs w:val="11"/>
                <w:color w:val="FFFFFF"/>
              </w:rPr>
              <w:t>% of Segment Profit (Loss)</w:t>
            </w:r>
          </w:p>
        </w:tc>
        <w:tc>
          <w:tcPr>
            <w:tcW w:w="0" w:type="dxa"/>
            <w:vAlign w:val="bottom"/>
          </w:tcPr>
          <w:p>
            <w:pPr>
              <w:spacing w:after="0"/>
              <w:rPr>
                <w:sz w:val="1"/>
                <w:szCs w:val="1"/>
                <w:color w:val="auto"/>
              </w:rPr>
            </w:pPr>
          </w:p>
        </w:tc>
      </w:tr>
      <w:tr>
        <w:trPr>
          <w:trHeight w:val="165"/>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2022</w:t>
            </w:r>
          </w:p>
        </w:tc>
        <w:tc>
          <w:tcPr>
            <w:tcW w:w="38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c>
          <w:tcPr>
            <w:tcW w:w="0" w:type="dxa"/>
            <w:vAlign w:val="bottom"/>
          </w:tcPr>
          <w:p>
            <w:pPr>
              <w:spacing w:after="0"/>
              <w:rPr>
                <w:sz w:val="1"/>
                <w:szCs w:val="1"/>
                <w:color w:val="auto"/>
              </w:rPr>
            </w:pPr>
          </w:p>
        </w:tc>
      </w:tr>
      <w:tr>
        <w:trPr>
          <w:trHeight w:val="150"/>
        </w:trPr>
        <w:tc>
          <w:tcPr>
            <w:tcW w:w="2580" w:type="dxa"/>
            <w:vAlign w:val="bottom"/>
            <w:tcBorders>
              <w:left w:val="single" w:sz="8" w:color="929292"/>
            </w:tcBorders>
            <w:vMerge w:val="restart"/>
          </w:tcPr>
          <w:p>
            <w:pPr>
              <w:jc w:val="center"/>
              <w:spacing w:after="0"/>
              <w:rPr>
                <w:sz w:val="20"/>
                <w:szCs w:val="20"/>
                <w:color w:val="auto"/>
              </w:rPr>
            </w:pPr>
            <w:r>
              <w:rPr>
                <w:rFonts w:ascii="Arial" w:cs="Arial" w:eastAsia="Arial" w:hAnsi="Arial"/>
                <w:sz w:val="11"/>
                <w:szCs w:val="11"/>
                <w:b w:val="1"/>
                <w:bCs w:val="1"/>
                <w:color w:val="00497F"/>
              </w:rPr>
              <w:t>Medicare—Internal</w:t>
            </w:r>
          </w:p>
        </w:tc>
        <w:tc>
          <w:tcPr>
            <w:tcW w:w="8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(11,040)</w:t>
            </w:r>
          </w:p>
        </w:tc>
        <w:tc>
          <w:tcPr>
            <w:tcW w:w="3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31,257</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43"/>
              <w:spacing w:after="0"/>
              <w:rPr>
                <w:sz w:val="20"/>
                <w:szCs w:val="20"/>
                <w:color w:val="auto"/>
              </w:rPr>
            </w:pPr>
            <w:r>
              <w:rPr>
                <w:rFonts w:ascii="Arial" w:cs="Arial" w:eastAsia="Arial" w:hAnsi="Arial"/>
                <w:sz w:val="11"/>
                <w:szCs w:val="11"/>
                <w:color w:val="auto"/>
              </w:rPr>
              <w:t>(42,297)</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(135.3)%</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71.2%</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108.9%</w:t>
            </w:r>
          </w:p>
        </w:tc>
        <w:tc>
          <w:tcPr>
            <w:tcW w:w="0" w:type="dxa"/>
            <w:vAlign w:val="bottom"/>
          </w:tcPr>
          <w:p>
            <w:pPr>
              <w:spacing w:after="0"/>
              <w:rPr>
                <w:sz w:val="1"/>
                <w:szCs w:val="1"/>
                <w:color w:val="auto"/>
              </w:rPr>
            </w:pPr>
          </w:p>
        </w:tc>
      </w:tr>
      <w:tr>
        <w:trPr>
          <w:trHeight w:val="85"/>
        </w:trPr>
        <w:tc>
          <w:tcPr>
            <w:tcW w:w="2580" w:type="dxa"/>
            <w:vAlign w:val="bottom"/>
            <w:tcBorders>
              <w:left w:val="single" w:sz="8" w:color="929292"/>
            </w:tcBorders>
            <w:vMerge w:val="continue"/>
          </w:tcPr>
          <w:p>
            <w:pPr>
              <w:spacing w:after="0"/>
              <w:rPr>
                <w:sz w:val="7"/>
                <w:szCs w:val="7"/>
                <w:color w:val="auto"/>
              </w:rPr>
            </w:pPr>
          </w:p>
        </w:tc>
        <w:tc>
          <w:tcPr>
            <w:tcW w:w="80" w:type="dxa"/>
            <w:vAlign w:val="bottom"/>
            <w:shd w:val="clear" w:color="auto" w:fill="929292"/>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60" w:type="dxa"/>
            <w:vAlign w:val="bottom"/>
            <w:shd w:val="clear" w:color="auto" w:fill="929292"/>
          </w:tcPr>
          <w:p>
            <w:pPr>
              <w:spacing w:after="0"/>
              <w:rPr>
                <w:sz w:val="7"/>
                <w:szCs w:val="7"/>
                <w:color w:val="auto"/>
              </w:rPr>
            </w:pPr>
          </w:p>
        </w:tc>
        <w:tc>
          <w:tcPr>
            <w:tcW w:w="1260" w:type="dxa"/>
            <w:vAlign w:val="bottom"/>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580" w:type="dxa"/>
            <w:vAlign w:val="bottom"/>
            <w:tcBorders>
              <w:left w:val="single" w:sz="8" w:color="929292"/>
            </w:tcBorders>
          </w:tcPr>
          <w:p>
            <w:pPr>
              <w:jc w:val="center"/>
              <w:spacing w:after="0"/>
              <w:rPr>
                <w:sz w:val="20"/>
                <w:szCs w:val="20"/>
                <w:color w:val="auto"/>
              </w:rPr>
            </w:pPr>
            <w:r>
              <w:rPr>
                <w:rFonts w:ascii="Arial" w:cs="Arial" w:eastAsia="Arial" w:hAnsi="Arial"/>
                <w:sz w:val="11"/>
                <w:szCs w:val="11"/>
                <w:color w:val="00497F"/>
              </w:rPr>
              <w:t>Segment Profit (Loss)</w:t>
            </w:r>
          </w:p>
        </w:tc>
        <w:tc>
          <w:tcPr>
            <w:tcW w:w="80" w:type="dxa"/>
            <w:vAlign w:val="bottom"/>
            <w:shd w:val="clear" w:color="auto" w:fill="929292"/>
          </w:tcPr>
          <w:p>
            <w:pPr>
              <w:spacing w:after="0"/>
              <w:rPr>
                <w:sz w:val="12"/>
                <w:szCs w:val="12"/>
                <w:color w:val="auto"/>
              </w:rPr>
            </w:pPr>
          </w:p>
        </w:tc>
        <w:tc>
          <w:tcPr>
            <w:tcW w:w="340" w:type="dxa"/>
            <w:vAlign w:val="bottom"/>
          </w:tcPr>
          <w:p>
            <w:pPr>
              <w:spacing w:after="0"/>
              <w:rPr>
                <w:sz w:val="12"/>
                <w:szCs w:val="12"/>
                <w:color w:val="auto"/>
              </w:rPr>
            </w:pPr>
          </w:p>
        </w:tc>
        <w:tc>
          <w:tcPr>
            <w:tcW w:w="2600" w:type="dxa"/>
            <w:vAlign w:val="bottom"/>
            <w:gridSpan w:val="3"/>
            <w:vMerge w:val="restart"/>
          </w:tcPr>
          <w:p>
            <w:pPr>
              <w:jc w:val="right"/>
              <w:ind w:right="743"/>
              <w:spacing w:after="0"/>
              <w:rPr>
                <w:sz w:val="20"/>
                <w:szCs w:val="20"/>
                <w:color w:val="auto"/>
              </w:rPr>
            </w:pPr>
            <w:r>
              <w:rPr>
                <w:rFonts w:ascii="Arial" w:cs="Arial" w:eastAsia="Arial" w:hAnsi="Arial"/>
                <w:sz w:val="11"/>
                <w:szCs w:val="11"/>
                <w:color w:val="auto"/>
              </w:rPr>
              <w:t>Six months ended Jun. 30,</w:t>
            </w: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520" w:type="dxa"/>
            <w:vAlign w:val="bottom"/>
            <w:gridSpan w:val="2"/>
            <w:vMerge w:val="restart"/>
            <w:shd w:val="clear" w:color="auto" w:fill="929292"/>
          </w:tcPr>
          <w:p>
            <w:pPr>
              <w:ind w:left="580"/>
              <w:spacing w:after="0"/>
              <w:rPr>
                <w:sz w:val="20"/>
                <w:szCs w:val="20"/>
                <w:color w:val="auto"/>
              </w:rPr>
            </w:pPr>
            <w:r>
              <w:rPr>
                <w:rFonts w:ascii="Arial" w:cs="Arial" w:eastAsia="Arial" w:hAnsi="Arial"/>
                <w:sz w:val="11"/>
                <w:szCs w:val="11"/>
                <w:color w:val="FFFFFF"/>
              </w:rPr>
              <w:t>% of Segment Profit (Loss)</w:t>
            </w:r>
          </w:p>
        </w:tc>
        <w:tc>
          <w:tcPr>
            <w:tcW w:w="0" w:type="dxa"/>
            <w:vAlign w:val="bottom"/>
          </w:tcPr>
          <w:p>
            <w:pPr>
              <w:spacing w:after="0"/>
              <w:rPr>
                <w:sz w:val="1"/>
                <w:szCs w:val="1"/>
                <w:color w:val="auto"/>
              </w:rPr>
            </w:pPr>
          </w:p>
        </w:tc>
      </w:tr>
      <w:tr>
        <w:trPr>
          <w:trHeight w:val="106"/>
        </w:trPr>
        <w:tc>
          <w:tcPr>
            <w:tcW w:w="2580" w:type="dxa"/>
            <w:vAlign w:val="bottom"/>
            <w:tcBorders>
              <w:left w:val="single" w:sz="8" w:color="929292"/>
            </w:tcBorders>
          </w:tcPr>
          <w:p>
            <w:pPr>
              <w:spacing w:after="0"/>
              <w:rPr>
                <w:sz w:val="9"/>
                <w:szCs w:val="9"/>
                <w:color w:val="auto"/>
              </w:rPr>
            </w:pPr>
          </w:p>
        </w:tc>
        <w:tc>
          <w:tcPr>
            <w:tcW w:w="80" w:type="dxa"/>
            <w:vAlign w:val="bottom"/>
            <w:shd w:val="clear" w:color="auto" w:fill="929292"/>
          </w:tcPr>
          <w:p>
            <w:pPr>
              <w:spacing w:after="0"/>
              <w:rPr>
                <w:sz w:val="9"/>
                <w:szCs w:val="9"/>
                <w:color w:val="auto"/>
              </w:rPr>
            </w:pPr>
          </w:p>
        </w:tc>
        <w:tc>
          <w:tcPr>
            <w:tcW w:w="34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520" w:type="dxa"/>
            <w:vAlign w:val="bottom"/>
            <w:gridSpan w:val="2"/>
            <w:vMerge w:val="continue"/>
            <w:shd w:val="clear" w:color="auto" w:fill="929292"/>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2022</w:t>
            </w:r>
          </w:p>
        </w:tc>
        <w:tc>
          <w:tcPr>
            <w:tcW w:w="38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c>
          <w:tcPr>
            <w:tcW w:w="0" w:type="dxa"/>
            <w:vAlign w:val="bottom"/>
          </w:tcPr>
          <w:p>
            <w:pPr>
              <w:spacing w:after="0"/>
              <w:rPr>
                <w:sz w:val="1"/>
                <w:szCs w:val="1"/>
                <w:color w:val="auto"/>
              </w:rPr>
            </w:pPr>
          </w:p>
        </w:tc>
      </w:tr>
      <w:tr>
        <w:trPr>
          <w:trHeight w:val="153"/>
        </w:trPr>
        <w:tc>
          <w:tcPr>
            <w:tcW w:w="258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23,799</w:t>
            </w:r>
          </w:p>
        </w:tc>
        <w:tc>
          <w:tcPr>
            <w:tcW w:w="3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77,700</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43"/>
              <w:spacing w:after="0"/>
              <w:rPr>
                <w:sz w:val="20"/>
                <w:szCs w:val="20"/>
                <w:color w:val="auto"/>
              </w:rPr>
            </w:pPr>
            <w:r>
              <w:rPr>
                <w:rFonts w:ascii="Arial" w:cs="Arial" w:eastAsia="Arial" w:hAnsi="Arial"/>
                <w:sz w:val="11"/>
                <w:szCs w:val="11"/>
                <w:color w:val="auto"/>
              </w:rPr>
              <w:t>(53,901)</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(69.4)%</w:t>
            </w:r>
          </w:p>
        </w:tc>
        <w:tc>
          <w:tcPr>
            <w:tcW w:w="1260" w:type="dxa"/>
            <w:vAlign w:val="bottom"/>
            <w:shd w:val="clear" w:color="auto" w:fill="929292"/>
          </w:tcPr>
          <w:p>
            <w:pPr>
              <w:ind w:left="540"/>
              <w:spacing w:after="0"/>
              <w:rPr>
                <w:sz w:val="20"/>
                <w:szCs w:val="20"/>
                <w:color w:val="auto"/>
              </w:rPr>
            </w:pPr>
            <w:r>
              <w:rPr>
                <w:rFonts w:ascii="Arial" w:cs="Arial" w:eastAsia="Arial" w:hAnsi="Arial"/>
                <w:sz w:val="11"/>
                <w:szCs w:val="11"/>
                <w:color w:val="FFFFFF"/>
              </w:rPr>
              <w:t>NM</w:t>
            </w:r>
          </w:p>
        </w:tc>
        <w:tc>
          <w:tcPr>
            <w:tcW w:w="1260" w:type="dxa"/>
            <w:vAlign w:val="bottom"/>
            <w:shd w:val="clear" w:color="auto" w:fill="929292"/>
          </w:tcPr>
          <w:p>
            <w:pPr>
              <w:ind w:left="540"/>
              <w:spacing w:after="0"/>
              <w:rPr>
                <w:sz w:val="20"/>
                <w:szCs w:val="20"/>
                <w:color w:val="auto"/>
              </w:rPr>
            </w:pPr>
            <w:r>
              <w:rPr>
                <w:rFonts w:ascii="Arial" w:cs="Arial" w:eastAsia="Arial" w:hAnsi="Arial"/>
                <w:sz w:val="11"/>
                <w:szCs w:val="11"/>
                <w:color w:val="FFFFFF"/>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97025" cy="698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-544830</wp:posOffset>
            </wp:positionV>
            <wp:extent cx="159702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NM = Not meaningful</w:t>
      </w:r>
    </w:p>
    <w:p>
      <w:pPr>
        <w:spacing w:after="0" w:line="195"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The decreases for both the three and six months ended June 30, 2022 compared to the prior year periods were primarily due to (i) our strategic focus on cash flow optimization, which contributed to a 35% and 3.2% decrease in net revenue, respectively, and (ii) increased agent costs associated with higher agent headcount. We hired and onboarded additional agents in the Medicare-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color w:val="auto"/>
        </w:rPr>
        <w:t>Internal segment throughout 2021, particularly in the second and third quarters as we prepared for AEP, resulting in a larger agent base heading into 2022.</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Medicare-External Segment</w:t>
      </w:r>
    </w:p>
    <w:p>
      <w:pPr>
        <w:spacing w:after="0" w:line="254"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The Medicare—External segment relates to sales of products and plans under GoHealth’s carrier contracts using an independent, national network of agents or external agencies, which are not employed by GoHealth. These agents utilize our technology and platform to enroll consumers in health insurance plans and provide us with a means to earn a return on leads that otherwise may have not been addressed. In this segment, we sell Medicare Advantage, Medicare Supplement, Medicare prescription drug plans, and SNPs. We earn revenue in this segment through commissions paid by carriers as a result of policy sales, as well as sales of consumer leads to external agencies.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Jun. 30,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c>
          <w:tcPr>
            <w:tcW w:w="0" w:type="dxa"/>
            <w:vAlign w:val="bottom"/>
          </w:tcPr>
          <w:p>
            <w:pPr>
              <w:spacing w:after="0"/>
              <w:rPr>
                <w:sz w:val="1"/>
                <w:szCs w:val="1"/>
                <w:color w:val="auto"/>
              </w:rPr>
            </w:pPr>
          </w:p>
        </w:tc>
      </w:tr>
      <w:tr>
        <w:trPr>
          <w:trHeight w:val="165"/>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c>
          <w:tcPr>
            <w:tcW w:w="0" w:type="dxa"/>
            <w:vAlign w:val="bottom"/>
          </w:tcPr>
          <w:p>
            <w:pPr>
              <w:spacing w:after="0"/>
              <w:rPr>
                <w:sz w:val="1"/>
                <w:szCs w:val="1"/>
                <w:color w:val="auto"/>
              </w:rPr>
            </w:pPr>
          </w:p>
        </w:tc>
      </w:tr>
      <w:tr>
        <w:trPr>
          <w:trHeight w:val="150"/>
        </w:trPr>
        <w:tc>
          <w:tcPr>
            <w:tcW w:w="2580" w:type="dxa"/>
            <w:vAlign w:val="bottom"/>
            <w:tcBorders>
              <w:left w:val="single" w:sz="8" w:color="929292"/>
            </w:tcBorders>
            <w:vMerge w:val="restart"/>
          </w:tcPr>
          <w:p>
            <w:pPr>
              <w:jc w:val="center"/>
              <w:spacing w:after="0"/>
              <w:rPr>
                <w:sz w:val="20"/>
                <w:szCs w:val="20"/>
                <w:color w:val="auto"/>
              </w:rPr>
            </w:pPr>
            <w:r>
              <w:rPr>
                <w:rFonts w:ascii="Arial" w:cs="Arial" w:eastAsia="Arial" w:hAnsi="Arial"/>
                <w:sz w:val="11"/>
                <w:szCs w:val="11"/>
                <w:b w:val="1"/>
                <w:bCs w:val="1"/>
                <w:color w:val="00497F"/>
              </w:rPr>
              <w:t>Medicare—External</w:t>
            </w:r>
          </w:p>
        </w:tc>
        <w:tc>
          <w:tcPr>
            <w:tcW w:w="8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50,103</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31,379</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63"/>
              <w:spacing w:after="0"/>
              <w:rPr>
                <w:sz w:val="20"/>
                <w:szCs w:val="20"/>
                <w:color w:val="auto"/>
              </w:rPr>
            </w:pPr>
            <w:r>
              <w:rPr>
                <w:rFonts w:ascii="Arial" w:cs="Arial" w:eastAsia="Arial" w:hAnsi="Arial"/>
                <w:sz w:val="11"/>
                <w:szCs w:val="11"/>
                <w:color w:val="auto"/>
              </w:rPr>
              <w:t>18,724</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59.7 %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31.6%</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15.9%</w:t>
            </w:r>
          </w:p>
        </w:tc>
        <w:tc>
          <w:tcPr>
            <w:tcW w:w="0" w:type="dxa"/>
            <w:vAlign w:val="bottom"/>
          </w:tcPr>
          <w:p>
            <w:pPr>
              <w:spacing w:after="0"/>
              <w:rPr>
                <w:sz w:val="1"/>
                <w:szCs w:val="1"/>
                <w:color w:val="auto"/>
              </w:rPr>
            </w:pPr>
          </w:p>
        </w:tc>
      </w:tr>
      <w:tr>
        <w:trPr>
          <w:trHeight w:val="81"/>
        </w:trPr>
        <w:tc>
          <w:tcPr>
            <w:tcW w:w="2580" w:type="dxa"/>
            <w:vAlign w:val="bottom"/>
            <w:tcBorders>
              <w:left w:val="single" w:sz="8" w:color="929292"/>
            </w:tcBorders>
            <w:vMerge w:val="continue"/>
          </w:tcPr>
          <w:p>
            <w:pPr>
              <w:spacing w:after="0"/>
              <w:rPr>
                <w:sz w:val="7"/>
                <w:szCs w:val="7"/>
                <w:color w:val="auto"/>
              </w:rPr>
            </w:pPr>
          </w:p>
        </w:tc>
        <w:tc>
          <w:tcPr>
            <w:tcW w:w="80" w:type="dxa"/>
            <w:vAlign w:val="bottom"/>
            <w:shd w:val="clear" w:color="auto" w:fill="929292"/>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60" w:type="dxa"/>
            <w:vAlign w:val="bottom"/>
            <w:shd w:val="clear" w:color="auto" w:fill="929292"/>
          </w:tcPr>
          <w:p>
            <w:pPr>
              <w:spacing w:after="0"/>
              <w:rPr>
                <w:sz w:val="7"/>
                <w:szCs w:val="7"/>
                <w:color w:val="auto"/>
              </w:rPr>
            </w:pPr>
          </w:p>
        </w:tc>
        <w:tc>
          <w:tcPr>
            <w:tcW w:w="1260" w:type="dxa"/>
            <w:vAlign w:val="bottom"/>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580" w:type="dxa"/>
            <w:vAlign w:val="bottom"/>
            <w:tcBorders>
              <w:left w:val="single" w:sz="8" w:color="929292"/>
            </w:tcBorders>
          </w:tcPr>
          <w:p>
            <w:pPr>
              <w:jc w:val="center"/>
              <w:spacing w:after="0"/>
              <w:rPr>
                <w:sz w:val="20"/>
                <w:szCs w:val="20"/>
                <w:color w:val="auto"/>
              </w:rPr>
            </w:pPr>
            <w:r>
              <w:rPr>
                <w:rFonts w:ascii="Arial" w:cs="Arial" w:eastAsia="Arial" w:hAnsi="Arial"/>
                <w:sz w:val="11"/>
                <w:szCs w:val="11"/>
                <w:color w:val="00497F"/>
              </w:rPr>
              <w:t>Net Revenues</w:t>
            </w:r>
          </w:p>
        </w:tc>
        <w:tc>
          <w:tcPr>
            <w:tcW w:w="80" w:type="dxa"/>
            <w:vAlign w:val="bottom"/>
            <w:shd w:val="clear" w:color="auto" w:fill="929292"/>
          </w:tcPr>
          <w:p>
            <w:pPr>
              <w:spacing w:after="0"/>
              <w:rPr>
                <w:sz w:val="12"/>
                <w:szCs w:val="12"/>
                <w:color w:val="auto"/>
              </w:rPr>
            </w:pPr>
          </w:p>
        </w:tc>
        <w:tc>
          <w:tcPr>
            <w:tcW w:w="340" w:type="dxa"/>
            <w:vAlign w:val="bottom"/>
          </w:tcPr>
          <w:p>
            <w:pPr>
              <w:spacing w:after="0"/>
              <w:rPr>
                <w:sz w:val="12"/>
                <w:szCs w:val="12"/>
                <w:color w:val="auto"/>
              </w:rPr>
            </w:pPr>
          </w:p>
        </w:tc>
        <w:tc>
          <w:tcPr>
            <w:tcW w:w="2600" w:type="dxa"/>
            <w:vAlign w:val="bottom"/>
            <w:gridSpan w:val="3"/>
            <w:vMerge w:val="restart"/>
          </w:tcPr>
          <w:p>
            <w:pPr>
              <w:jc w:val="right"/>
              <w:ind w:right="743"/>
              <w:spacing w:after="0"/>
              <w:rPr>
                <w:sz w:val="20"/>
                <w:szCs w:val="20"/>
                <w:color w:val="auto"/>
              </w:rPr>
            </w:pPr>
            <w:r>
              <w:rPr>
                <w:rFonts w:ascii="Arial" w:cs="Arial" w:eastAsia="Arial" w:hAnsi="Arial"/>
                <w:sz w:val="11"/>
                <w:szCs w:val="11"/>
                <w:color w:val="auto"/>
              </w:rPr>
              <w:t>Six months ended Jun. 30,</w:t>
            </w: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520" w:type="dxa"/>
            <w:vAlign w:val="bottom"/>
            <w:gridSpan w:val="2"/>
            <w:vMerge w:val="restart"/>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c>
          <w:tcPr>
            <w:tcW w:w="0" w:type="dxa"/>
            <w:vAlign w:val="bottom"/>
          </w:tcPr>
          <w:p>
            <w:pPr>
              <w:spacing w:after="0"/>
              <w:rPr>
                <w:sz w:val="1"/>
                <w:szCs w:val="1"/>
                <w:color w:val="auto"/>
              </w:rPr>
            </w:pPr>
          </w:p>
        </w:tc>
      </w:tr>
      <w:tr>
        <w:trPr>
          <w:trHeight w:val="110"/>
        </w:trPr>
        <w:tc>
          <w:tcPr>
            <w:tcW w:w="2580" w:type="dxa"/>
            <w:vAlign w:val="bottom"/>
            <w:tcBorders>
              <w:left w:val="single" w:sz="8" w:color="929292"/>
            </w:tcBorders>
          </w:tcPr>
          <w:p>
            <w:pPr>
              <w:spacing w:after="0"/>
              <w:rPr>
                <w:sz w:val="9"/>
                <w:szCs w:val="9"/>
                <w:color w:val="auto"/>
              </w:rPr>
            </w:pPr>
          </w:p>
        </w:tc>
        <w:tc>
          <w:tcPr>
            <w:tcW w:w="80" w:type="dxa"/>
            <w:vAlign w:val="bottom"/>
            <w:shd w:val="clear" w:color="auto" w:fill="929292"/>
          </w:tcPr>
          <w:p>
            <w:pPr>
              <w:spacing w:after="0"/>
              <w:rPr>
                <w:sz w:val="9"/>
                <w:szCs w:val="9"/>
                <w:color w:val="auto"/>
              </w:rPr>
            </w:pPr>
          </w:p>
        </w:tc>
        <w:tc>
          <w:tcPr>
            <w:tcW w:w="34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520" w:type="dxa"/>
            <w:vAlign w:val="bottom"/>
            <w:gridSpan w:val="2"/>
            <w:vMerge w:val="continue"/>
            <w:shd w:val="clear" w:color="auto" w:fill="929292"/>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580" w:type="dxa"/>
            <w:vAlign w:val="bottom"/>
            <w:tcBorders>
              <w:left w:val="single" w:sz="8" w:color="929292"/>
            </w:tcBorders>
          </w:tcPr>
          <w:p>
            <w:pPr>
              <w:spacing w:after="0"/>
              <w:rPr>
                <w:sz w:val="14"/>
                <w:szCs w:val="14"/>
                <w:color w:val="auto"/>
              </w:rPr>
            </w:pP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c>
          <w:tcPr>
            <w:tcW w:w="0" w:type="dxa"/>
            <w:vAlign w:val="bottom"/>
          </w:tcPr>
          <w:p>
            <w:pPr>
              <w:spacing w:after="0"/>
              <w:rPr>
                <w:sz w:val="1"/>
                <w:szCs w:val="1"/>
                <w:color w:val="auto"/>
              </w:rPr>
            </w:pPr>
          </w:p>
        </w:tc>
      </w:tr>
      <w:tr>
        <w:trPr>
          <w:trHeight w:val="153"/>
        </w:trPr>
        <w:tc>
          <w:tcPr>
            <w:tcW w:w="258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111,589</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70,879</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63"/>
              <w:spacing w:after="0"/>
              <w:rPr>
                <w:sz w:val="20"/>
                <w:szCs w:val="20"/>
                <w:color w:val="auto"/>
              </w:rPr>
            </w:pPr>
            <w:r>
              <w:rPr>
                <w:rFonts w:ascii="Arial" w:cs="Arial" w:eastAsia="Arial" w:hAnsi="Arial"/>
                <w:sz w:val="11"/>
                <w:szCs w:val="11"/>
                <w:color w:val="auto"/>
              </w:rPr>
              <w:t>40,710</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57.4 %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26.0%</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17.7%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97025" cy="698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-544830</wp:posOffset>
            </wp:positionV>
            <wp:extent cx="159702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03" w:lineRule="exact"/>
        <w:rPr>
          <w:sz w:val="20"/>
          <w:szCs w:val="20"/>
          <w:color w:val="auto"/>
        </w:rPr>
      </w:pPr>
    </w:p>
    <w:p>
      <w:pPr>
        <w:ind w:right="380"/>
        <w:spacing w:after="0" w:line="261" w:lineRule="auto"/>
        <w:rPr>
          <w:sz w:val="20"/>
          <w:szCs w:val="20"/>
          <w:color w:val="auto"/>
        </w:rPr>
      </w:pPr>
      <w:r>
        <w:rPr>
          <w:rFonts w:ascii="Arial" w:cs="Arial" w:eastAsia="Arial" w:hAnsi="Arial"/>
          <w:sz w:val="13"/>
          <w:szCs w:val="13"/>
          <w:color w:val="auto"/>
        </w:rPr>
        <w:t>The increases for both the three and six months ended June 30, 2022 compared to the prior year periods were primarily attributable to a 118% and 114% increase in commissionable Approved Submissions in the Medicare—External segment, respectively, due to our ability to recruit and onboard additional external agents to enroll consumers in Medicare plans using our technology and platform.</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2620" w:type="dxa"/>
            <w:vAlign w:val="bottom"/>
            <w:tcBorders>
              <w:top w:val="single" w:sz="8" w:color="929292"/>
              <w:left w:val="single" w:sz="8" w:color="929292"/>
            </w:tcBorders>
          </w:tcPr>
          <w:p>
            <w:pPr>
              <w:spacing w:after="0"/>
              <w:rPr>
                <w:sz w:val="14"/>
                <w:szCs w:val="14"/>
                <w:color w:val="auto"/>
              </w:rPr>
            </w:pPr>
          </w:p>
        </w:tc>
        <w:tc>
          <w:tcPr>
            <w:tcW w:w="100" w:type="dxa"/>
            <w:vAlign w:val="bottom"/>
            <w:tcBorders>
              <w:top w:val="single" w:sz="8" w:color="929292"/>
            </w:tcBorders>
            <w:shd w:val="clear" w:color="auto" w:fill="929292"/>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3"/>
          </w:tcPr>
          <w:p>
            <w:pPr>
              <w:jc w:val="right"/>
              <w:ind w:right="703"/>
              <w:spacing w:after="0"/>
              <w:rPr>
                <w:sz w:val="20"/>
                <w:szCs w:val="20"/>
                <w:color w:val="auto"/>
              </w:rPr>
            </w:pPr>
            <w:r>
              <w:rPr>
                <w:rFonts w:ascii="Arial" w:cs="Arial" w:eastAsia="Arial" w:hAnsi="Arial"/>
                <w:sz w:val="11"/>
                <w:szCs w:val="11"/>
                <w:color w:val="auto"/>
              </w:rPr>
              <w:t>Three months ended Jun. 30,</w:t>
            </w: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580"/>
              <w:spacing w:after="0"/>
              <w:rPr>
                <w:sz w:val="20"/>
                <w:szCs w:val="20"/>
                <w:color w:val="auto"/>
              </w:rPr>
            </w:pPr>
            <w:r>
              <w:rPr>
                <w:rFonts w:ascii="Arial" w:cs="Arial" w:eastAsia="Arial" w:hAnsi="Arial"/>
                <w:sz w:val="11"/>
                <w:szCs w:val="11"/>
                <w:color w:val="FFFFFF"/>
              </w:rPr>
              <w:t>% of Segment Profit (Loss)</w:t>
            </w:r>
          </w:p>
        </w:tc>
        <w:tc>
          <w:tcPr>
            <w:tcW w:w="0" w:type="dxa"/>
            <w:vAlign w:val="bottom"/>
          </w:tcPr>
          <w:p>
            <w:pPr>
              <w:spacing w:after="0"/>
              <w:rPr>
                <w:sz w:val="1"/>
                <w:szCs w:val="1"/>
                <w:color w:val="auto"/>
              </w:rPr>
            </w:pPr>
          </w:p>
        </w:tc>
      </w:tr>
      <w:tr>
        <w:trPr>
          <w:trHeight w:val="170"/>
        </w:trPr>
        <w:tc>
          <w:tcPr>
            <w:tcW w:w="2620" w:type="dxa"/>
            <w:vAlign w:val="bottom"/>
            <w:tcBorders>
              <w:left w:val="single" w:sz="8" w:color="929292"/>
            </w:tcBorders>
          </w:tcPr>
          <w:p>
            <w:pPr>
              <w:spacing w:after="0"/>
              <w:rPr>
                <w:sz w:val="14"/>
                <w:szCs w:val="14"/>
                <w:color w:val="auto"/>
              </w:rPr>
            </w:pPr>
          </w:p>
        </w:tc>
        <w:tc>
          <w:tcPr>
            <w:tcW w:w="100" w:type="dxa"/>
            <w:vAlign w:val="bottom"/>
            <w:tcBorders>
              <w:bottom w:val="single" w:sz="8" w:color="929292"/>
            </w:tcBorders>
            <w:shd w:val="clear" w:color="auto" w:fill="929292"/>
          </w:tcPr>
          <w:p>
            <w:pPr>
              <w:spacing w:after="0"/>
              <w:rPr>
                <w:sz w:val="14"/>
                <w:szCs w:val="14"/>
                <w:color w:val="auto"/>
              </w:rPr>
            </w:pPr>
          </w:p>
        </w:tc>
        <w:tc>
          <w:tcPr>
            <w:tcW w:w="32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ind w:right="583"/>
              <w:spacing w:after="0"/>
              <w:rPr>
                <w:sz w:val="20"/>
                <w:szCs w:val="20"/>
                <w:color w:val="auto"/>
              </w:rPr>
            </w:pPr>
            <w:r>
              <w:rPr>
                <w:rFonts w:ascii="Arial" w:cs="Arial" w:eastAsia="Arial" w:hAnsi="Arial"/>
                <w:sz w:val="11"/>
                <w:szCs w:val="11"/>
                <w:color w:val="auto"/>
              </w:rPr>
              <w:t>2022</w:t>
            </w:r>
          </w:p>
        </w:tc>
        <w:tc>
          <w:tcPr>
            <w:tcW w:w="36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0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340" w:type="dxa"/>
            <w:vAlign w:val="bottom"/>
            <w:tcBorders>
              <w:bottom w:val="single" w:sz="8" w:color="929292"/>
            </w:tcBorders>
          </w:tcPr>
          <w:p>
            <w:pPr>
              <w:ind w:left="280"/>
              <w:spacing w:after="0"/>
              <w:rPr>
                <w:sz w:val="20"/>
                <w:szCs w:val="20"/>
                <w:color w:val="auto"/>
              </w:rPr>
            </w:pPr>
            <w:r>
              <w:rPr>
                <w:rFonts w:ascii="Arial" w:cs="Arial" w:eastAsia="Arial" w:hAnsi="Arial"/>
                <w:sz w:val="11"/>
                <w:szCs w:val="11"/>
                <w:color w:val="auto"/>
              </w:rPr>
              <w:t>% Change</w:t>
            </w:r>
          </w:p>
        </w:tc>
        <w:tc>
          <w:tcPr>
            <w:tcW w:w="124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w w:val="97"/>
              </w:rPr>
              <w:t>2022</w:t>
            </w:r>
          </w:p>
        </w:tc>
        <w:tc>
          <w:tcPr>
            <w:tcW w:w="128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c>
          <w:tcPr>
            <w:tcW w:w="0" w:type="dxa"/>
            <w:vAlign w:val="bottom"/>
          </w:tcPr>
          <w:p>
            <w:pPr>
              <w:spacing w:after="0"/>
              <w:rPr>
                <w:sz w:val="1"/>
                <w:szCs w:val="1"/>
                <w:color w:val="auto"/>
              </w:rPr>
            </w:pPr>
          </w:p>
        </w:tc>
      </w:tr>
      <w:tr>
        <w:trPr>
          <w:trHeight w:val="150"/>
        </w:trPr>
        <w:tc>
          <w:tcPr>
            <w:tcW w:w="2620" w:type="dxa"/>
            <w:vAlign w:val="bottom"/>
            <w:tcBorders>
              <w:left w:val="single" w:sz="8" w:color="929292"/>
            </w:tcBorders>
            <w:vMerge w:val="restart"/>
          </w:tcPr>
          <w:p>
            <w:pPr>
              <w:jc w:val="center"/>
              <w:spacing w:after="0"/>
              <w:rPr>
                <w:sz w:val="20"/>
                <w:szCs w:val="20"/>
                <w:color w:val="auto"/>
              </w:rPr>
            </w:pPr>
            <w:r>
              <w:rPr>
                <w:rFonts w:ascii="Arial" w:cs="Arial" w:eastAsia="Arial" w:hAnsi="Arial"/>
                <w:sz w:val="11"/>
                <w:szCs w:val="11"/>
                <w:b w:val="1"/>
                <w:bCs w:val="1"/>
                <w:color w:val="00497F"/>
              </w:rPr>
              <w:t>Medicare—External</w:t>
            </w:r>
          </w:p>
        </w:tc>
        <w:tc>
          <w:tcPr>
            <w:tcW w:w="100" w:type="dxa"/>
            <w:vAlign w:val="bottom"/>
            <w:shd w:val="clear" w:color="auto" w:fill="929292"/>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(5,635)</w:t>
            </w:r>
          </w:p>
        </w:tc>
        <w:tc>
          <w:tcPr>
            <w:tcW w:w="36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(1,688)</w:t>
            </w:r>
          </w:p>
        </w:tc>
        <w:tc>
          <w:tcPr>
            <w:tcW w:w="3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1400" w:type="dxa"/>
            <w:vAlign w:val="bottom"/>
          </w:tcPr>
          <w:p>
            <w:pPr>
              <w:jc w:val="right"/>
              <w:ind w:right="223"/>
              <w:spacing w:after="0"/>
              <w:rPr>
                <w:sz w:val="20"/>
                <w:szCs w:val="20"/>
                <w:color w:val="auto"/>
              </w:rPr>
            </w:pPr>
            <w:r>
              <w:rPr>
                <w:rFonts w:ascii="Arial" w:cs="Arial" w:eastAsia="Arial" w:hAnsi="Arial"/>
                <w:sz w:val="11"/>
                <w:szCs w:val="11"/>
                <w:color w:val="auto"/>
              </w:rPr>
              <w:t>(3,947)</w:t>
            </w:r>
          </w:p>
        </w:tc>
        <w:tc>
          <w:tcPr>
            <w:tcW w:w="1340" w:type="dxa"/>
            <w:vAlign w:val="bottom"/>
          </w:tcPr>
          <w:p>
            <w:pPr>
              <w:ind w:left="1060"/>
              <w:spacing w:after="0"/>
              <w:rPr>
                <w:sz w:val="20"/>
                <w:szCs w:val="20"/>
                <w:color w:val="auto"/>
              </w:rPr>
            </w:pPr>
            <w:r>
              <w:rPr>
                <w:rFonts w:ascii="Arial" w:cs="Arial" w:eastAsia="Arial" w:hAnsi="Arial"/>
                <w:sz w:val="11"/>
                <w:szCs w:val="11"/>
                <w:color w:val="auto"/>
              </w:rPr>
              <w:t>NM</w:t>
            </w:r>
          </w:p>
        </w:tc>
        <w:tc>
          <w:tcPr>
            <w:tcW w:w="124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NM</w:t>
            </w:r>
          </w:p>
        </w:tc>
        <w:tc>
          <w:tcPr>
            <w:tcW w:w="128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NM</w:t>
            </w:r>
          </w:p>
        </w:tc>
        <w:tc>
          <w:tcPr>
            <w:tcW w:w="0" w:type="dxa"/>
            <w:vAlign w:val="bottom"/>
          </w:tcPr>
          <w:p>
            <w:pPr>
              <w:spacing w:after="0"/>
              <w:rPr>
                <w:sz w:val="1"/>
                <w:szCs w:val="1"/>
                <w:color w:val="auto"/>
              </w:rPr>
            </w:pPr>
          </w:p>
        </w:tc>
      </w:tr>
      <w:tr>
        <w:trPr>
          <w:trHeight w:val="85"/>
        </w:trPr>
        <w:tc>
          <w:tcPr>
            <w:tcW w:w="2620" w:type="dxa"/>
            <w:vAlign w:val="bottom"/>
            <w:tcBorders>
              <w:left w:val="single" w:sz="8" w:color="929292"/>
            </w:tcBorders>
            <w:vMerge w:val="continue"/>
          </w:tcPr>
          <w:p>
            <w:pPr>
              <w:spacing w:after="0"/>
              <w:rPr>
                <w:sz w:val="7"/>
                <w:szCs w:val="7"/>
                <w:color w:val="auto"/>
              </w:rPr>
            </w:pPr>
          </w:p>
        </w:tc>
        <w:tc>
          <w:tcPr>
            <w:tcW w:w="100" w:type="dxa"/>
            <w:vAlign w:val="bottom"/>
            <w:shd w:val="clear" w:color="auto" w:fill="929292"/>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40" w:type="dxa"/>
            <w:vAlign w:val="bottom"/>
            <w:shd w:val="clear" w:color="auto" w:fill="929292"/>
          </w:tcPr>
          <w:p>
            <w:pPr>
              <w:spacing w:after="0"/>
              <w:rPr>
                <w:sz w:val="7"/>
                <w:szCs w:val="7"/>
                <w:color w:val="auto"/>
              </w:rPr>
            </w:pPr>
          </w:p>
        </w:tc>
        <w:tc>
          <w:tcPr>
            <w:tcW w:w="1280" w:type="dxa"/>
            <w:vAlign w:val="bottom"/>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620" w:type="dxa"/>
            <w:vAlign w:val="bottom"/>
            <w:tcBorders>
              <w:left w:val="single" w:sz="8" w:color="929292"/>
            </w:tcBorders>
          </w:tcPr>
          <w:p>
            <w:pPr>
              <w:jc w:val="center"/>
              <w:spacing w:after="0"/>
              <w:rPr>
                <w:sz w:val="20"/>
                <w:szCs w:val="20"/>
                <w:color w:val="auto"/>
              </w:rPr>
            </w:pPr>
            <w:r>
              <w:rPr>
                <w:rFonts w:ascii="Arial" w:cs="Arial" w:eastAsia="Arial" w:hAnsi="Arial"/>
                <w:sz w:val="11"/>
                <w:szCs w:val="11"/>
                <w:color w:val="00497F"/>
              </w:rPr>
              <w:t>Segment Profit (Loss)</w:t>
            </w:r>
          </w:p>
        </w:tc>
        <w:tc>
          <w:tcPr>
            <w:tcW w:w="100" w:type="dxa"/>
            <w:vAlign w:val="bottom"/>
            <w:shd w:val="clear" w:color="auto" w:fill="929292"/>
          </w:tcPr>
          <w:p>
            <w:pPr>
              <w:spacing w:after="0"/>
              <w:rPr>
                <w:sz w:val="12"/>
                <w:szCs w:val="12"/>
                <w:color w:val="auto"/>
              </w:rPr>
            </w:pPr>
          </w:p>
        </w:tc>
        <w:tc>
          <w:tcPr>
            <w:tcW w:w="320" w:type="dxa"/>
            <w:vAlign w:val="bottom"/>
          </w:tcPr>
          <w:p>
            <w:pPr>
              <w:spacing w:after="0"/>
              <w:rPr>
                <w:sz w:val="12"/>
                <w:szCs w:val="12"/>
                <w:color w:val="auto"/>
              </w:rPr>
            </w:pPr>
          </w:p>
        </w:tc>
        <w:tc>
          <w:tcPr>
            <w:tcW w:w="2640" w:type="dxa"/>
            <w:vAlign w:val="bottom"/>
            <w:gridSpan w:val="3"/>
            <w:vMerge w:val="restart"/>
          </w:tcPr>
          <w:p>
            <w:pPr>
              <w:jc w:val="right"/>
              <w:ind w:right="783"/>
              <w:spacing w:after="0"/>
              <w:rPr>
                <w:sz w:val="20"/>
                <w:szCs w:val="20"/>
                <w:color w:val="auto"/>
              </w:rPr>
            </w:pPr>
            <w:r>
              <w:rPr>
                <w:rFonts w:ascii="Arial" w:cs="Arial" w:eastAsia="Arial" w:hAnsi="Arial"/>
                <w:sz w:val="11"/>
                <w:szCs w:val="11"/>
                <w:color w:val="auto"/>
              </w:rPr>
              <w:t>Six months ended Jun. 30,</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520" w:type="dxa"/>
            <w:vAlign w:val="bottom"/>
            <w:gridSpan w:val="2"/>
            <w:vMerge w:val="restart"/>
            <w:shd w:val="clear" w:color="auto" w:fill="929292"/>
          </w:tcPr>
          <w:p>
            <w:pPr>
              <w:ind w:left="580"/>
              <w:spacing w:after="0"/>
              <w:rPr>
                <w:sz w:val="20"/>
                <w:szCs w:val="20"/>
                <w:color w:val="auto"/>
              </w:rPr>
            </w:pPr>
            <w:r>
              <w:rPr>
                <w:rFonts w:ascii="Arial" w:cs="Arial" w:eastAsia="Arial" w:hAnsi="Arial"/>
                <w:sz w:val="11"/>
                <w:szCs w:val="11"/>
                <w:color w:val="FFFFFF"/>
              </w:rPr>
              <w:t>% of Segment Profit (Loss)</w:t>
            </w:r>
          </w:p>
        </w:tc>
        <w:tc>
          <w:tcPr>
            <w:tcW w:w="0" w:type="dxa"/>
            <w:vAlign w:val="bottom"/>
          </w:tcPr>
          <w:p>
            <w:pPr>
              <w:spacing w:after="0"/>
              <w:rPr>
                <w:sz w:val="1"/>
                <w:szCs w:val="1"/>
                <w:color w:val="auto"/>
              </w:rPr>
            </w:pPr>
          </w:p>
        </w:tc>
      </w:tr>
      <w:tr>
        <w:trPr>
          <w:trHeight w:val="106"/>
        </w:trPr>
        <w:tc>
          <w:tcPr>
            <w:tcW w:w="2620" w:type="dxa"/>
            <w:vAlign w:val="bottom"/>
            <w:tcBorders>
              <w:left w:val="single" w:sz="8" w:color="929292"/>
            </w:tcBorders>
          </w:tcPr>
          <w:p>
            <w:pPr>
              <w:spacing w:after="0"/>
              <w:rPr>
                <w:sz w:val="9"/>
                <w:szCs w:val="9"/>
                <w:color w:val="auto"/>
              </w:rPr>
            </w:pPr>
          </w:p>
        </w:tc>
        <w:tc>
          <w:tcPr>
            <w:tcW w:w="100" w:type="dxa"/>
            <w:vAlign w:val="bottom"/>
            <w:shd w:val="clear" w:color="auto" w:fill="929292"/>
          </w:tcPr>
          <w:p>
            <w:pPr>
              <w:spacing w:after="0"/>
              <w:rPr>
                <w:sz w:val="9"/>
                <w:szCs w:val="9"/>
                <w:color w:val="auto"/>
              </w:rPr>
            </w:pPr>
          </w:p>
        </w:tc>
        <w:tc>
          <w:tcPr>
            <w:tcW w:w="3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520" w:type="dxa"/>
            <w:vAlign w:val="bottom"/>
            <w:gridSpan w:val="2"/>
            <w:vMerge w:val="continue"/>
            <w:shd w:val="clear" w:color="auto" w:fill="929292"/>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620" w:type="dxa"/>
            <w:vAlign w:val="bottom"/>
            <w:tcBorders>
              <w:left w:val="single" w:sz="8" w:color="929292"/>
            </w:tcBorders>
          </w:tcPr>
          <w:p>
            <w:pPr>
              <w:spacing w:after="0"/>
              <w:rPr>
                <w:sz w:val="14"/>
                <w:szCs w:val="14"/>
                <w:color w:val="auto"/>
              </w:rPr>
            </w:pPr>
          </w:p>
        </w:tc>
        <w:tc>
          <w:tcPr>
            <w:tcW w:w="100" w:type="dxa"/>
            <w:vAlign w:val="bottom"/>
            <w:tcBorders>
              <w:bottom w:val="single" w:sz="8" w:color="929292"/>
            </w:tcBorders>
            <w:shd w:val="clear" w:color="auto" w:fill="929292"/>
          </w:tcPr>
          <w:p>
            <w:pPr>
              <w:spacing w:after="0"/>
              <w:rPr>
                <w:sz w:val="14"/>
                <w:szCs w:val="14"/>
                <w:color w:val="auto"/>
              </w:rPr>
            </w:pPr>
          </w:p>
        </w:tc>
        <w:tc>
          <w:tcPr>
            <w:tcW w:w="32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ind w:right="583"/>
              <w:spacing w:after="0"/>
              <w:rPr>
                <w:sz w:val="20"/>
                <w:szCs w:val="20"/>
                <w:color w:val="auto"/>
              </w:rPr>
            </w:pPr>
            <w:r>
              <w:rPr>
                <w:rFonts w:ascii="Arial" w:cs="Arial" w:eastAsia="Arial" w:hAnsi="Arial"/>
                <w:sz w:val="11"/>
                <w:szCs w:val="11"/>
                <w:color w:val="auto"/>
              </w:rPr>
              <w:t>2022</w:t>
            </w:r>
          </w:p>
        </w:tc>
        <w:tc>
          <w:tcPr>
            <w:tcW w:w="36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1400" w:type="dxa"/>
            <w:vAlign w:val="bottom"/>
            <w:tcBorders>
              <w:bottom w:val="single" w:sz="8" w:color="929292"/>
            </w:tcBorders>
          </w:tcPr>
          <w:p>
            <w:pPr>
              <w:jc w:val="right"/>
              <w:ind w:right="663"/>
              <w:spacing w:after="0"/>
              <w:rPr>
                <w:sz w:val="20"/>
                <w:szCs w:val="20"/>
                <w:color w:val="auto"/>
              </w:rPr>
            </w:pPr>
            <w:r>
              <w:rPr>
                <w:rFonts w:ascii="Arial" w:cs="Arial" w:eastAsia="Arial" w:hAnsi="Arial"/>
                <w:sz w:val="11"/>
                <w:szCs w:val="11"/>
                <w:color w:val="auto"/>
              </w:rPr>
              <w:t>$ Change</w:t>
            </w:r>
          </w:p>
        </w:tc>
        <w:tc>
          <w:tcPr>
            <w:tcW w:w="1340" w:type="dxa"/>
            <w:vAlign w:val="bottom"/>
            <w:tcBorders>
              <w:bottom w:val="single" w:sz="8" w:color="929292"/>
            </w:tcBorders>
          </w:tcPr>
          <w:p>
            <w:pPr>
              <w:ind w:left="280"/>
              <w:spacing w:after="0"/>
              <w:rPr>
                <w:sz w:val="20"/>
                <w:szCs w:val="20"/>
                <w:color w:val="auto"/>
              </w:rPr>
            </w:pPr>
            <w:r>
              <w:rPr>
                <w:rFonts w:ascii="Arial" w:cs="Arial" w:eastAsia="Arial" w:hAnsi="Arial"/>
                <w:sz w:val="11"/>
                <w:szCs w:val="11"/>
                <w:color w:val="auto"/>
              </w:rPr>
              <w:t>% Change</w:t>
            </w:r>
          </w:p>
        </w:tc>
        <w:tc>
          <w:tcPr>
            <w:tcW w:w="124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w w:val="97"/>
              </w:rPr>
              <w:t>2022</w:t>
            </w:r>
          </w:p>
        </w:tc>
        <w:tc>
          <w:tcPr>
            <w:tcW w:w="128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c>
          <w:tcPr>
            <w:tcW w:w="0" w:type="dxa"/>
            <w:vAlign w:val="bottom"/>
          </w:tcPr>
          <w:p>
            <w:pPr>
              <w:spacing w:after="0"/>
              <w:rPr>
                <w:sz w:val="1"/>
                <w:szCs w:val="1"/>
                <w:color w:val="auto"/>
              </w:rPr>
            </w:pPr>
          </w:p>
        </w:tc>
      </w:tr>
      <w:tr>
        <w:trPr>
          <w:trHeight w:val="153"/>
        </w:trPr>
        <w:tc>
          <w:tcPr>
            <w:tcW w:w="2620" w:type="dxa"/>
            <w:vAlign w:val="bottom"/>
            <w:tcBorders>
              <w:left w:val="single" w:sz="8" w:color="929292"/>
              <w:bottom w:val="single" w:sz="8" w:color="929292"/>
            </w:tcBorders>
          </w:tcPr>
          <w:p>
            <w:pPr>
              <w:spacing w:after="0"/>
              <w:rPr>
                <w:sz w:val="13"/>
                <w:szCs w:val="13"/>
                <w:color w:val="auto"/>
              </w:rPr>
            </w:pPr>
          </w:p>
        </w:tc>
        <w:tc>
          <w:tcPr>
            <w:tcW w:w="100" w:type="dxa"/>
            <w:vAlign w:val="bottom"/>
            <w:tcBorders>
              <w:bottom w:val="single" w:sz="8" w:color="929292"/>
            </w:tcBorders>
            <w:shd w:val="clear" w:color="auto" w:fill="929292"/>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(13,428)</w:t>
            </w:r>
          </w:p>
        </w:tc>
        <w:tc>
          <w:tcPr>
            <w:tcW w:w="36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(2,319)</w:t>
            </w:r>
          </w:p>
        </w:tc>
        <w:tc>
          <w:tcPr>
            <w:tcW w:w="3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1400" w:type="dxa"/>
            <w:vAlign w:val="bottom"/>
          </w:tcPr>
          <w:p>
            <w:pPr>
              <w:jc w:val="right"/>
              <w:ind w:right="223"/>
              <w:spacing w:after="0"/>
              <w:rPr>
                <w:sz w:val="20"/>
                <w:szCs w:val="20"/>
                <w:color w:val="auto"/>
              </w:rPr>
            </w:pPr>
            <w:r>
              <w:rPr>
                <w:rFonts w:ascii="Arial" w:cs="Arial" w:eastAsia="Arial" w:hAnsi="Arial"/>
                <w:sz w:val="11"/>
                <w:szCs w:val="11"/>
                <w:color w:val="auto"/>
              </w:rPr>
              <w:t>(11,109)</w:t>
            </w:r>
          </w:p>
        </w:tc>
        <w:tc>
          <w:tcPr>
            <w:tcW w:w="1340" w:type="dxa"/>
            <w:vAlign w:val="bottom"/>
          </w:tcPr>
          <w:p>
            <w:pPr>
              <w:ind w:left="1060"/>
              <w:spacing w:after="0"/>
              <w:rPr>
                <w:sz w:val="20"/>
                <w:szCs w:val="20"/>
                <w:color w:val="auto"/>
              </w:rPr>
            </w:pPr>
            <w:r>
              <w:rPr>
                <w:rFonts w:ascii="Arial" w:cs="Arial" w:eastAsia="Arial" w:hAnsi="Arial"/>
                <w:sz w:val="11"/>
                <w:szCs w:val="11"/>
                <w:color w:val="auto"/>
              </w:rPr>
              <w:t>NM</w:t>
            </w:r>
          </w:p>
        </w:tc>
        <w:tc>
          <w:tcPr>
            <w:tcW w:w="124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NM</w:t>
            </w:r>
          </w:p>
        </w:tc>
        <w:tc>
          <w:tcPr>
            <w:tcW w:w="128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5547995</wp:posOffset>
            </wp:positionH>
            <wp:positionV relativeFrom="paragraph">
              <wp:posOffset>-113665</wp:posOffset>
            </wp:positionV>
            <wp:extent cx="160337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03375" cy="6985"/>
                    </a:xfrm>
                    <a:prstGeom prst="rect">
                      <a:avLst/>
                    </a:prstGeom>
                    <a:noFill/>
                  </pic:spPr>
                </pic:pic>
              </a:graphicData>
            </a:graphic>
          </wp:anchor>
        </w:drawing>
        <w:drawing>
          <wp:anchor simplePos="0" relativeHeight="251657728" behindDoc="1" locked="0" layoutInCell="0" allowOverlap="1">
            <wp:simplePos x="0" y="0"/>
            <wp:positionH relativeFrom="column">
              <wp:posOffset>5547995</wp:posOffset>
            </wp:positionH>
            <wp:positionV relativeFrom="paragraph">
              <wp:posOffset>-544830</wp:posOffset>
            </wp:positionV>
            <wp:extent cx="160337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03375" cy="698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NM = Not meaningful</w:t>
      </w:r>
    </w:p>
    <w:p>
      <w:pPr>
        <w:spacing w:after="0" w:line="174" w:lineRule="exact"/>
        <w:rPr>
          <w:sz w:val="20"/>
          <w:szCs w:val="20"/>
          <w:color w:val="auto"/>
        </w:rPr>
      </w:pPr>
    </w:p>
    <w:p>
      <w:pPr>
        <w:ind w:right="320"/>
        <w:spacing w:after="0" w:line="283" w:lineRule="auto"/>
        <w:rPr>
          <w:sz w:val="20"/>
          <w:szCs w:val="20"/>
          <w:color w:val="auto"/>
        </w:rPr>
      </w:pPr>
      <w:r>
        <w:rPr>
          <w:rFonts w:ascii="Arial" w:cs="Arial" w:eastAsia="Arial" w:hAnsi="Arial"/>
          <w:sz w:val="13"/>
          <w:szCs w:val="13"/>
          <w:color w:val="auto"/>
        </w:rPr>
        <w:t>The increases in loss for both the three and six months ended June 30, 2022 compared to the prior year periods were primarily attributable to an increase in the amount of expense we recognized pursuant to our revenue-sharing agreements with external agents and other partners.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IFP and Other Segments</w:t>
      </w:r>
    </w:p>
    <w:p>
      <w:pPr>
        <w:spacing w:after="0" w:line="254"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The IFP and Other—Internal segment relates to sales of products and plans by GoHealth-employed agents offering qualified prospects plans from multiple carriers, GoHealth-employed agents offering qualified prospects plans on a carrier-specific basis, or DIY. In this segment, we sell individual and family plans, dental plans, vision plans and other ancillary plans to individuals who are not Medicare-eligible. We earn revenue in this segment through commissions paid by carriers based on sales we generate, as well as enrollment fees, and hourly fees and other fees for services performed for specific carriers and other partners.</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The IFP and Other—External segment relates to sales of products and plans under GoHealth’s carrier contracts using external agencies, who use agents that are not employed by GoHealth. These agents utilize our technology and platform to enroll consumers in health insurance plans. We also sell consumer leads generated by us to external agencies. In this segment, we sell individual and family plans, dental plans, vision plans and other ancillary plans to individuals who are not Medicare-eligible. We earn revenue in this segment through commissions paid by carriers as a result of policy sales, as well as sales of consumer leads to external agencies.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59"/>
        </w:trPr>
        <w:tc>
          <w:tcPr>
            <w:tcW w:w="2580" w:type="dxa"/>
            <w:vAlign w:val="bottom"/>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Jun. 30,</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shd w:val="clear" w:color="auto" w:fill="929292"/>
          </w:tcPr>
          <w:p>
            <w:pPr>
              <w:spacing w:after="0"/>
              <w:rPr>
                <w:sz w:val="13"/>
                <w:szCs w:val="13"/>
                <w:color w:val="auto"/>
              </w:rPr>
            </w:pPr>
          </w:p>
        </w:tc>
        <w:tc>
          <w:tcPr>
            <w:tcW w:w="1760" w:type="dxa"/>
            <w:vAlign w:val="bottom"/>
            <w:gridSpan w:val="2"/>
            <w:shd w:val="clear" w:color="auto" w:fill="929292"/>
          </w:tcPr>
          <w:p>
            <w:pPr>
              <w:jc w:val="right"/>
              <w:ind w:right="703"/>
              <w:spacing w:after="0"/>
              <w:rPr>
                <w:sz w:val="20"/>
                <w:szCs w:val="20"/>
                <w:color w:val="auto"/>
              </w:rPr>
            </w:pPr>
            <w:r>
              <w:rPr>
                <w:rFonts w:ascii="Arial" w:cs="Arial" w:eastAsia="Arial" w:hAnsi="Arial"/>
                <w:sz w:val="11"/>
                <w:szCs w:val="11"/>
                <w:color w:val="FFFFFF"/>
              </w:rPr>
              <w:t>% of Net Revenues</w:t>
            </w:r>
          </w:p>
        </w:tc>
      </w:tr>
      <w:tr>
        <w:trPr>
          <w:trHeight w:val="153"/>
        </w:trPr>
        <w:tc>
          <w:tcPr>
            <w:tcW w:w="2580" w:type="dxa"/>
            <w:vAlign w:val="bottom"/>
            <w:tcBorders>
              <w:bottom w:val="single" w:sz="8" w:color="929292"/>
            </w:tcBorders>
          </w:tcPr>
          <w:p>
            <w:pPr>
              <w:ind w:left="940"/>
              <w:spacing w:after="0"/>
              <w:rPr>
                <w:sz w:val="20"/>
                <w:szCs w:val="20"/>
                <w:color w:val="auto"/>
              </w:rPr>
            </w:pPr>
            <w:r>
              <w:rPr>
                <w:rFonts w:ascii="Arial" w:cs="Arial" w:eastAsia="Arial" w:hAnsi="Arial"/>
                <w:sz w:val="11"/>
                <w:szCs w:val="11"/>
                <w:color w:val="auto"/>
              </w:rPr>
              <w:t>Net Revenues</w:t>
            </w: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3"/>
                <w:szCs w:val="13"/>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3"/>
                <w:szCs w:val="13"/>
                <w:color w:val="auto"/>
              </w:rPr>
            </w:pPr>
          </w:p>
        </w:tc>
        <w:tc>
          <w:tcPr>
            <w:tcW w:w="74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1600" w:type="dxa"/>
            <w:vAlign w:val="bottom"/>
            <w:tcBorders>
              <w:bottom w:val="single" w:sz="8" w:color="929292"/>
            </w:tcBorders>
          </w:tcPr>
          <w:p>
            <w:pPr>
              <w:jc w:val="right"/>
              <w:ind w:right="23"/>
              <w:spacing w:after="0"/>
              <w:rPr>
                <w:sz w:val="20"/>
                <w:szCs w:val="20"/>
                <w:color w:val="auto"/>
              </w:rPr>
            </w:pPr>
            <w:r>
              <w:rPr>
                <w:rFonts w:ascii="Arial" w:cs="Arial" w:eastAsia="Arial" w:hAnsi="Arial"/>
                <w:sz w:val="11"/>
                <w:szCs w:val="11"/>
                <w:color w:val="auto"/>
              </w:rPr>
              <w:t>% Change</w:t>
            </w:r>
          </w:p>
        </w:tc>
        <w:tc>
          <w:tcPr>
            <w:tcW w:w="480" w:type="dxa"/>
            <w:vAlign w:val="bottom"/>
            <w:tcBorders>
              <w:bottom w:val="single" w:sz="8" w:color="929292"/>
            </w:tcBorders>
          </w:tcPr>
          <w:p>
            <w:pPr>
              <w:spacing w:after="0"/>
              <w:rPr>
                <w:sz w:val="13"/>
                <w:szCs w:val="13"/>
                <w:color w:val="auto"/>
              </w:rPr>
            </w:pPr>
          </w:p>
        </w:tc>
        <w:tc>
          <w:tcPr>
            <w:tcW w:w="760" w:type="dxa"/>
            <w:vAlign w:val="bottom"/>
            <w:tcBorders>
              <w:bottom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2022</w:t>
            </w:r>
          </w:p>
        </w:tc>
        <w:tc>
          <w:tcPr>
            <w:tcW w:w="500" w:type="dxa"/>
            <w:vAlign w:val="bottom"/>
            <w:tcBorders>
              <w:bottom w:val="single" w:sz="8" w:color="929292"/>
            </w:tcBorders>
            <w:shd w:val="clear" w:color="auto" w:fill="929292"/>
          </w:tcPr>
          <w:p>
            <w:pPr>
              <w:spacing w:after="0"/>
              <w:rPr>
                <w:sz w:val="13"/>
                <w:szCs w:val="13"/>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r>
      <w:tr>
        <w:trPr>
          <w:trHeight w:val="150"/>
        </w:trPr>
        <w:tc>
          <w:tcPr>
            <w:tcW w:w="2580" w:type="dxa"/>
            <w:vAlign w:val="bottom"/>
          </w:tcPr>
          <w:p>
            <w:pPr>
              <w:ind w:left="20"/>
              <w:spacing w:after="0"/>
              <w:rPr>
                <w:sz w:val="20"/>
                <w:szCs w:val="20"/>
                <w:color w:val="auto"/>
              </w:rPr>
            </w:pPr>
            <w:r>
              <w:rPr>
                <w:rFonts w:ascii="Arial" w:cs="Arial" w:eastAsia="Arial" w:hAnsi="Arial"/>
                <w:sz w:val="11"/>
                <w:szCs w:val="11"/>
                <w:color w:val="auto"/>
              </w:rPr>
              <w:t>IFP and Other—Internal</w:t>
            </w:r>
          </w:p>
        </w:tc>
        <w:tc>
          <w:tcPr>
            <w:tcW w:w="8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4,245</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3,788</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1600" w:type="dxa"/>
            <w:vAlign w:val="bottom"/>
          </w:tcPr>
          <w:p>
            <w:pPr>
              <w:jc w:val="right"/>
              <w:ind w:right="1183"/>
              <w:spacing w:after="0"/>
              <w:rPr>
                <w:sz w:val="20"/>
                <w:szCs w:val="20"/>
                <w:color w:val="auto"/>
              </w:rPr>
            </w:pPr>
            <w:r>
              <w:rPr>
                <w:rFonts w:ascii="Arial" w:cs="Arial" w:eastAsia="Arial" w:hAnsi="Arial"/>
                <w:sz w:val="11"/>
                <w:szCs w:val="11"/>
                <w:color w:val="auto"/>
              </w:rPr>
              <w:t>457</w:t>
            </w: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12 %</w:t>
            </w:r>
          </w:p>
        </w:tc>
        <w:tc>
          <w:tcPr>
            <w:tcW w:w="7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2.7%</w:t>
            </w:r>
          </w:p>
        </w:tc>
        <w:tc>
          <w:tcPr>
            <w:tcW w:w="500" w:type="dxa"/>
            <w:vAlign w:val="bottom"/>
            <w:shd w:val="clear" w:color="auto" w:fill="929292"/>
          </w:tcPr>
          <w:p>
            <w:pPr>
              <w:spacing w:after="0"/>
              <w:rPr>
                <w:sz w:val="13"/>
                <w:szCs w:val="13"/>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1.9%</w:t>
            </w:r>
          </w:p>
        </w:tc>
      </w:tr>
      <w:tr>
        <w:trPr>
          <w:trHeight w:val="159"/>
        </w:trPr>
        <w:tc>
          <w:tcPr>
            <w:tcW w:w="2580" w:type="dxa"/>
            <w:vAlign w:val="bottom"/>
          </w:tcPr>
          <w:p>
            <w:pPr>
              <w:ind w:left="20"/>
              <w:spacing w:after="0"/>
              <w:rPr>
                <w:sz w:val="20"/>
                <w:szCs w:val="20"/>
                <w:color w:val="auto"/>
              </w:rPr>
            </w:pPr>
            <w:r>
              <w:rPr>
                <w:rFonts w:ascii="Arial" w:cs="Arial" w:eastAsia="Arial" w:hAnsi="Arial"/>
                <w:sz w:val="11"/>
                <w:szCs w:val="11"/>
                <w:color w:val="auto"/>
              </w:rPr>
              <w:t>IFP and Other—External</w:t>
            </w: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621</w:t>
            </w:r>
          </w:p>
        </w:tc>
        <w:tc>
          <w:tcPr>
            <w:tcW w:w="400" w:type="dxa"/>
            <w:vAlign w:val="bottom"/>
          </w:tcPr>
          <w:p>
            <w:pPr>
              <w:spacing w:after="0"/>
              <w:rPr>
                <w:sz w:val="13"/>
                <w:szCs w:val="13"/>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1,302</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jc w:val="right"/>
              <w:ind w:right="1163"/>
              <w:spacing w:after="0"/>
              <w:rPr>
                <w:sz w:val="20"/>
                <w:szCs w:val="20"/>
                <w:color w:val="auto"/>
              </w:rPr>
            </w:pPr>
            <w:r>
              <w:rPr>
                <w:rFonts w:ascii="Arial" w:cs="Arial" w:eastAsia="Arial" w:hAnsi="Arial"/>
                <w:sz w:val="11"/>
                <w:szCs w:val="11"/>
                <w:color w:val="auto"/>
              </w:rPr>
              <w:t>(681)</w:t>
            </w: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(52)%</w:t>
            </w:r>
          </w:p>
        </w:tc>
        <w:tc>
          <w:tcPr>
            <w:tcW w:w="7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0.4%</w:t>
            </w:r>
          </w:p>
        </w:tc>
        <w:tc>
          <w:tcPr>
            <w:tcW w:w="500" w:type="dxa"/>
            <w:vAlign w:val="bottom"/>
            <w:shd w:val="clear" w:color="auto" w:fill="929292"/>
          </w:tcPr>
          <w:p>
            <w:pPr>
              <w:spacing w:after="0"/>
              <w:rPr>
                <w:sz w:val="13"/>
                <w:szCs w:val="13"/>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0.7%</w:t>
            </w:r>
          </w:p>
        </w:tc>
      </w:tr>
      <w:tr>
        <w:trPr>
          <w:trHeight w:val="329"/>
        </w:trPr>
        <w:tc>
          <w:tcPr>
            <w:tcW w:w="2580" w:type="dxa"/>
            <w:vAlign w:val="bottom"/>
          </w:tcPr>
          <w:p>
            <w:pPr>
              <w:spacing w:after="0"/>
              <w:rPr>
                <w:sz w:val="24"/>
                <w:szCs w:val="24"/>
                <w:color w:val="auto"/>
              </w:rPr>
            </w:pPr>
          </w:p>
        </w:tc>
        <w:tc>
          <w:tcPr>
            <w:tcW w:w="80" w:type="dxa"/>
            <w:vAlign w:val="bottom"/>
            <w:shd w:val="clear" w:color="auto" w:fill="929292"/>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3"/>
          </w:tcPr>
          <w:p>
            <w:pPr>
              <w:jc w:val="right"/>
              <w:ind w:right="743"/>
              <w:spacing w:after="0"/>
              <w:rPr>
                <w:sz w:val="20"/>
                <w:szCs w:val="20"/>
                <w:color w:val="auto"/>
              </w:rPr>
            </w:pPr>
            <w:r>
              <w:rPr>
                <w:rFonts w:ascii="Arial" w:cs="Arial" w:eastAsia="Arial" w:hAnsi="Arial"/>
                <w:sz w:val="11"/>
                <w:szCs w:val="11"/>
                <w:color w:val="auto"/>
              </w:rPr>
              <w:t>Six months ended Jun. 30,</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shd w:val="clear" w:color="auto" w:fill="929292"/>
          </w:tcPr>
          <w:p>
            <w:pPr>
              <w:spacing w:after="0"/>
              <w:rPr>
                <w:sz w:val="24"/>
                <w:szCs w:val="24"/>
                <w:color w:val="auto"/>
              </w:rPr>
            </w:pPr>
          </w:p>
        </w:tc>
        <w:tc>
          <w:tcPr>
            <w:tcW w:w="1760" w:type="dxa"/>
            <w:vAlign w:val="bottom"/>
            <w:gridSpan w:val="2"/>
            <w:shd w:val="clear" w:color="auto" w:fill="929292"/>
          </w:tcPr>
          <w:p>
            <w:pPr>
              <w:jc w:val="right"/>
              <w:ind w:right="703"/>
              <w:spacing w:after="0"/>
              <w:rPr>
                <w:sz w:val="20"/>
                <w:szCs w:val="20"/>
                <w:color w:val="auto"/>
              </w:rPr>
            </w:pPr>
            <w:r>
              <w:rPr>
                <w:rFonts w:ascii="Arial" w:cs="Arial" w:eastAsia="Arial" w:hAnsi="Arial"/>
                <w:sz w:val="11"/>
                <w:szCs w:val="11"/>
                <w:color w:val="FFFFFF"/>
              </w:rPr>
              <w:t>% of Net Revenues</w:t>
            </w:r>
          </w:p>
        </w:tc>
      </w:tr>
      <w:tr>
        <w:trPr>
          <w:trHeight w:val="159"/>
        </w:trPr>
        <w:tc>
          <w:tcPr>
            <w:tcW w:w="2580" w:type="dxa"/>
            <w:vAlign w:val="bottom"/>
            <w:tcBorders>
              <w:bottom w:val="single" w:sz="8" w:color="929292"/>
            </w:tcBorders>
          </w:tcPr>
          <w:p>
            <w:pPr>
              <w:ind w:left="940"/>
              <w:spacing w:after="0"/>
              <w:rPr>
                <w:sz w:val="20"/>
                <w:szCs w:val="20"/>
                <w:color w:val="auto"/>
              </w:rPr>
            </w:pPr>
            <w:r>
              <w:rPr>
                <w:rFonts w:ascii="Arial" w:cs="Arial" w:eastAsia="Arial" w:hAnsi="Arial"/>
                <w:sz w:val="11"/>
                <w:szCs w:val="11"/>
                <w:color w:val="auto"/>
              </w:rPr>
              <w:t>Net Revenues</w:t>
            </w: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3"/>
                <w:szCs w:val="13"/>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3"/>
                <w:szCs w:val="13"/>
                <w:color w:val="auto"/>
              </w:rPr>
            </w:pPr>
          </w:p>
        </w:tc>
        <w:tc>
          <w:tcPr>
            <w:tcW w:w="74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1600" w:type="dxa"/>
            <w:vAlign w:val="bottom"/>
            <w:tcBorders>
              <w:bottom w:val="single" w:sz="8" w:color="929292"/>
            </w:tcBorders>
          </w:tcPr>
          <w:p>
            <w:pPr>
              <w:jc w:val="right"/>
              <w:ind w:right="23"/>
              <w:spacing w:after="0"/>
              <w:rPr>
                <w:sz w:val="20"/>
                <w:szCs w:val="20"/>
                <w:color w:val="auto"/>
              </w:rPr>
            </w:pPr>
            <w:r>
              <w:rPr>
                <w:rFonts w:ascii="Arial" w:cs="Arial" w:eastAsia="Arial" w:hAnsi="Arial"/>
                <w:sz w:val="11"/>
                <w:szCs w:val="11"/>
                <w:color w:val="auto"/>
              </w:rPr>
              <w:t>% Change</w:t>
            </w:r>
          </w:p>
        </w:tc>
        <w:tc>
          <w:tcPr>
            <w:tcW w:w="480" w:type="dxa"/>
            <w:vAlign w:val="bottom"/>
            <w:tcBorders>
              <w:bottom w:val="single" w:sz="8" w:color="929292"/>
            </w:tcBorders>
          </w:tcPr>
          <w:p>
            <w:pPr>
              <w:spacing w:after="0"/>
              <w:rPr>
                <w:sz w:val="13"/>
                <w:szCs w:val="13"/>
                <w:color w:val="auto"/>
              </w:rPr>
            </w:pPr>
          </w:p>
        </w:tc>
        <w:tc>
          <w:tcPr>
            <w:tcW w:w="760" w:type="dxa"/>
            <w:vAlign w:val="bottom"/>
            <w:tcBorders>
              <w:bottom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2022</w:t>
            </w:r>
          </w:p>
        </w:tc>
        <w:tc>
          <w:tcPr>
            <w:tcW w:w="500" w:type="dxa"/>
            <w:vAlign w:val="bottom"/>
            <w:tcBorders>
              <w:bottom w:val="single" w:sz="8" w:color="929292"/>
            </w:tcBorders>
            <w:shd w:val="clear" w:color="auto" w:fill="929292"/>
          </w:tcPr>
          <w:p>
            <w:pPr>
              <w:spacing w:after="0"/>
              <w:rPr>
                <w:sz w:val="13"/>
                <w:szCs w:val="13"/>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r>
      <w:tr>
        <w:trPr>
          <w:trHeight w:val="150"/>
        </w:trPr>
        <w:tc>
          <w:tcPr>
            <w:tcW w:w="2580" w:type="dxa"/>
            <w:vAlign w:val="bottom"/>
          </w:tcPr>
          <w:p>
            <w:pPr>
              <w:ind w:left="20"/>
              <w:spacing w:after="0"/>
              <w:rPr>
                <w:sz w:val="20"/>
                <w:szCs w:val="20"/>
                <w:color w:val="auto"/>
              </w:rPr>
            </w:pPr>
            <w:r>
              <w:rPr>
                <w:rFonts w:ascii="Arial" w:cs="Arial" w:eastAsia="Arial" w:hAnsi="Arial"/>
                <w:sz w:val="11"/>
                <w:szCs w:val="11"/>
                <w:color w:val="auto"/>
              </w:rPr>
              <w:t>IFP and Other—Internal</w:t>
            </w:r>
          </w:p>
        </w:tc>
        <w:tc>
          <w:tcPr>
            <w:tcW w:w="8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8,445</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7,763</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1600" w:type="dxa"/>
            <w:vAlign w:val="bottom"/>
          </w:tcPr>
          <w:p>
            <w:pPr>
              <w:jc w:val="right"/>
              <w:ind w:right="1183"/>
              <w:spacing w:after="0"/>
              <w:rPr>
                <w:sz w:val="20"/>
                <w:szCs w:val="20"/>
                <w:color w:val="auto"/>
              </w:rPr>
            </w:pPr>
            <w:r>
              <w:rPr>
                <w:rFonts w:ascii="Arial" w:cs="Arial" w:eastAsia="Arial" w:hAnsi="Arial"/>
                <w:sz w:val="11"/>
                <w:szCs w:val="11"/>
                <w:color w:val="auto"/>
              </w:rPr>
              <w:t>682</w:t>
            </w: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9 %</w:t>
            </w:r>
          </w:p>
        </w:tc>
        <w:tc>
          <w:tcPr>
            <w:tcW w:w="7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2.0%</w:t>
            </w:r>
          </w:p>
        </w:tc>
        <w:tc>
          <w:tcPr>
            <w:tcW w:w="500" w:type="dxa"/>
            <w:vAlign w:val="bottom"/>
            <w:shd w:val="clear" w:color="auto" w:fill="929292"/>
          </w:tcPr>
          <w:p>
            <w:pPr>
              <w:spacing w:after="0"/>
              <w:rPr>
                <w:sz w:val="13"/>
                <w:szCs w:val="13"/>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1.9%</w:t>
            </w:r>
          </w:p>
        </w:tc>
      </w:tr>
      <w:tr>
        <w:trPr>
          <w:trHeight w:val="166"/>
        </w:trPr>
        <w:tc>
          <w:tcPr>
            <w:tcW w:w="2580" w:type="dxa"/>
            <w:vAlign w:val="bottom"/>
          </w:tcPr>
          <w:p>
            <w:pPr>
              <w:ind w:left="20"/>
              <w:spacing w:after="0"/>
              <w:rPr>
                <w:sz w:val="20"/>
                <w:szCs w:val="20"/>
                <w:color w:val="auto"/>
              </w:rPr>
            </w:pPr>
            <w:r>
              <w:rPr>
                <w:rFonts w:ascii="Arial" w:cs="Arial" w:eastAsia="Arial" w:hAnsi="Arial"/>
                <w:sz w:val="11"/>
                <w:szCs w:val="11"/>
                <w:color w:val="auto"/>
              </w:rPr>
              <w:t>IFP and Other—External</w:t>
            </w: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1,683</w:t>
            </w:r>
          </w:p>
        </w:tc>
        <w:tc>
          <w:tcPr>
            <w:tcW w:w="40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4,653</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4"/>
                <w:szCs w:val="14"/>
                <w:color w:val="auto"/>
              </w:rPr>
            </w:pPr>
          </w:p>
        </w:tc>
        <w:tc>
          <w:tcPr>
            <w:tcW w:w="1600" w:type="dxa"/>
            <w:vAlign w:val="bottom"/>
          </w:tcPr>
          <w:p>
            <w:pPr>
              <w:jc w:val="right"/>
              <w:ind w:right="1143"/>
              <w:spacing w:after="0"/>
              <w:rPr>
                <w:sz w:val="20"/>
                <w:szCs w:val="20"/>
                <w:color w:val="auto"/>
              </w:rPr>
            </w:pPr>
            <w:r>
              <w:rPr>
                <w:rFonts w:ascii="Arial" w:cs="Arial" w:eastAsia="Arial" w:hAnsi="Arial"/>
                <w:sz w:val="11"/>
                <w:szCs w:val="11"/>
                <w:color w:val="auto"/>
              </w:rPr>
              <w:t>(2,970)</w:t>
            </w: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(64)%</w:t>
            </w:r>
          </w:p>
        </w:tc>
        <w:tc>
          <w:tcPr>
            <w:tcW w:w="7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0.4%</w:t>
            </w:r>
          </w:p>
        </w:tc>
        <w:tc>
          <w:tcPr>
            <w:tcW w:w="500" w:type="dxa"/>
            <w:vAlign w:val="bottom"/>
            <w:shd w:val="clear" w:color="auto" w:fill="929292"/>
          </w:tcPr>
          <w:p>
            <w:pPr>
              <w:spacing w:after="0"/>
              <w:rPr>
                <w:sz w:val="14"/>
                <w:szCs w:val="14"/>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-208280</wp:posOffset>
            </wp:positionV>
            <wp:extent cx="15970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97025" cy="698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-727075</wp:posOffset>
            </wp:positionV>
            <wp:extent cx="15970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14"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For the IFP and Other—Internal segment, the increases were driven by a change in product mix sold. For the IFP and Other—External segment, the decreases was primarily driven by a strategic shift towards higher margin Medicare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80" w:type="dxa"/>
            <w:vAlign w:val="bottom"/>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703"/>
              <w:spacing w:after="0"/>
              <w:rPr>
                <w:sz w:val="20"/>
                <w:szCs w:val="20"/>
                <w:color w:val="auto"/>
              </w:rPr>
            </w:pPr>
            <w:r>
              <w:rPr>
                <w:rFonts w:ascii="Arial" w:cs="Arial" w:eastAsia="Arial" w:hAnsi="Arial"/>
                <w:sz w:val="11"/>
                <w:szCs w:val="11"/>
                <w:color w:val="auto"/>
              </w:rPr>
              <w:t>Three months ended Jun. 30,</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20" w:type="dxa"/>
            <w:vAlign w:val="bottom"/>
            <w:gridSpan w:val="2"/>
            <w:shd w:val="clear" w:color="auto" w:fill="929292"/>
          </w:tcPr>
          <w:p>
            <w:pPr>
              <w:ind w:left="580"/>
              <w:spacing w:after="0"/>
              <w:rPr>
                <w:sz w:val="20"/>
                <w:szCs w:val="20"/>
                <w:color w:val="auto"/>
              </w:rPr>
            </w:pPr>
            <w:r>
              <w:rPr>
                <w:rFonts w:ascii="Arial" w:cs="Arial" w:eastAsia="Arial" w:hAnsi="Arial"/>
                <w:sz w:val="11"/>
                <w:szCs w:val="11"/>
                <w:color w:val="FFFFFF"/>
              </w:rPr>
              <w:t>% of Segment Profit (Loss)</w:t>
            </w:r>
          </w:p>
        </w:tc>
      </w:tr>
      <w:tr>
        <w:trPr>
          <w:trHeight w:val="153"/>
        </w:trPr>
        <w:tc>
          <w:tcPr>
            <w:tcW w:w="2580" w:type="dxa"/>
            <w:vAlign w:val="bottom"/>
            <w:tcBorders>
              <w:bottom w:val="single" w:sz="8" w:color="929292"/>
            </w:tcBorders>
          </w:tcPr>
          <w:p>
            <w:pPr>
              <w:ind w:left="740"/>
              <w:spacing w:after="0"/>
              <w:rPr>
                <w:sz w:val="20"/>
                <w:szCs w:val="20"/>
                <w:color w:val="auto"/>
              </w:rPr>
            </w:pPr>
            <w:r>
              <w:rPr>
                <w:rFonts w:ascii="Arial" w:cs="Arial" w:eastAsia="Arial" w:hAnsi="Arial"/>
                <w:sz w:val="11"/>
                <w:szCs w:val="11"/>
                <w:color w:val="auto"/>
              </w:rPr>
              <w:t>Segment Profit (Loss)</w:t>
            </w: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2022</w:t>
            </w:r>
          </w:p>
        </w:tc>
        <w:tc>
          <w:tcPr>
            <w:tcW w:w="380" w:type="dxa"/>
            <w:vAlign w:val="bottom"/>
            <w:tcBorders>
              <w:bottom w:val="single" w:sz="8" w:color="929292"/>
            </w:tcBorders>
          </w:tcPr>
          <w:p>
            <w:pPr>
              <w:spacing w:after="0"/>
              <w:rPr>
                <w:sz w:val="13"/>
                <w:szCs w:val="13"/>
                <w:color w:val="auto"/>
              </w:rPr>
            </w:pPr>
          </w:p>
        </w:tc>
        <w:tc>
          <w:tcPr>
            <w:tcW w:w="11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2021</w:t>
            </w:r>
          </w:p>
        </w:tc>
        <w:tc>
          <w:tcPr>
            <w:tcW w:w="300" w:type="dxa"/>
            <w:vAlign w:val="bottom"/>
            <w:tcBorders>
              <w:bottom w:val="single" w:sz="8" w:color="929292"/>
            </w:tcBorders>
          </w:tcPr>
          <w:p>
            <w:pPr>
              <w:spacing w:after="0"/>
              <w:rPr>
                <w:sz w:val="13"/>
                <w:szCs w:val="13"/>
                <w:color w:val="auto"/>
              </w:rPr>
            </w:pPr>
          </w:p>
        </w:tc>
        <w:tc>
          <w:tcPr>
            <w:tcW w:w="76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154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 Change</w:t>
            </w:r>
          </w:p>
        </w:tc>
        <w:tc>
          <w:tcPr>
            <w:tcW w:w="520" w:type="dxa"/>
            <w:vAlign w:val="bottom"/>
            <w:tcBorders>
              <w:bottom w:val="single" w:sz="8" w:color="929292"/>
            </w:tcBorders>
          </w:tcPr>
          <w:p>
            <w:pPr>
              <w:spacing w:after="0"/>
              <w:rPr>
                <w:sz w:val="13"/>
                <w:szCs w:val="13"/>
                <w:color w:val="auto"/>
              </w:rPr>
            </w:pP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0"/>
        </w:trPr>
        <w:tc>
          <w:tcPr>
            <w:tcW w:w="2580" w:type="dxa"/>
            <w:vAlign w:val="bottom"/>
          </w:tcPr>
          <w:p>
            <w:pPr>
              <w:ind w:left="20"/>
              <w:spacing w:after="0"/>
              <w:rPr>
                <w:sz w:val="20"/>
                <w:szCs w:val="20"/>
                <w:color w:val="auto"/>
              </w:rPr>
            </w:pPr>
            <w:r>
              <w:rPr>
                <w:rFonts w:ascii="Arial" w:cs="Arial" w:eastAsia="Arial" w:hAnsi="Arial"/>
                <w:sz w:val="11"/>
                <w:szCs w:val="11"/>
                <w:color w:val="auto"/>
              </w:rPr>
              <w:t>IFP and Other—Internal</w:t>
            </w:r>
          </w:p>
        </w:tc>
        <w:tc>
          <w:tcPr>
            <w:tcW w:w="8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1,582</w:t>
            </w:r>
          </w:p>
        </w:tc>
        <w:tc>
          <w:tcPr>
            <w:tcW w:w="3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(800)</w:t>
            </w:r>
          </w:p>
        </w:tc>
        <w:tc>
          <w:tcPr>
            <w:tcW w:w="3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1540" w:type="dxa"/>
            <w:vAlign w:val="bottom"/>
          </w:tcPr>
          <w:p>
            <w:pPr>
              <w:jc w:val="right"/>
              <w:ind w:right="1143"/>
              <w:spacing w:after="0"/>
              <w:rPr>
                <w:sz w:val="20"/>
                <w:szCs w:val="20"/>
                <w:color w:val="auto"/>
              </w:rPr>
            </w:pPr>
            <w:r>
              <w:rPr>
                <w:rFonts w:ascii="Arial" w:cs="Arial" w:eastAsia="Arial" w:hAnsi="Arial"/>
                <w:sz w:val="11"/>
                <w:szCs w:val="11"/>
                <w:color w:val="auto"/>
              </w:rPr>
              <w:t>2,382</w:t>
            </w: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NM</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NM</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NM</w:t>
            </w:r>
          </w:p>
        </w:tc>
      </w:tr>
      <w:tr>
        <w:trPr>
          <w:trHeight w:val="159"/>
        </w:trPr>
        <w:tc>
          <w:tcPr>
            <w:tcW w:w="2580" w:type="dxa"/>
            <w:vAlign w:val="bottom"/>
          </w:tcPr>
          <w:p>
            <w:pPr>
              <w:ind w:left="20"/>
              <w:spacing w:after="0"/>
              <w:rPr>
                <w:sz w:val="20"/>
                <w:szCs w:val="20"/>
                <w:color w:val="auto"/>
              </w:rPr>
            </w:pPr>
            <w:r>
              <w:rPr>
                <w:rFonts w:ascii="Arial" w:cs="Arial" w:eastAsia="Arial" w:hAnsi="Arial"/>
                <w:sz w:val="11"/>
                <w:szCs w:val="11"/>
                <w:color w:val="auto"/>
              </w:rPr>
              <w:t>IFP and Other—External</w:t>
            </w: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(411)</w:t>
            </w:r>
          </w:p>
        </w:tc>
        <w:tc>
          <w:tcPr>
            <w:tcW w:w="3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(57)</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jc w:val="right"/>
              <w:ind w:right="1123"/>
              <w:spacing w:after="0"/>
              <w:rPr>
                <w:sz w:val="20"/>
                <w:szCs w:val="20"/>
                <w:color w:val="auto"/>
              </w:rPr>
            </w:pPr>
            <w:r>
              <w:rPr>
                <w:rFonts w:ascii="Arial" w:cs="Arial" w:eastAsia="Arial" w:hAnsi="Arial"/>
                <w:sz w:val="11"/>
                <w:szCs w:val="11"/>
                <w:color w:val="auto"/>
              </w:rPr>
              <w:t>(354)</w:t>
            </w: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621 %</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NM</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NM</w:t>
            </w:r>
          </w:p>
        </w:tc>
      </w:tr>
      <w:tr>
        <w:trPr>
          <w:trHeight w:val="329"/>
        </w:trPr>
        <w:tc>
          <w:tcPr>
            <w:tcW w:w="2580" w:type="dxa"/>
            <w:vAlign w:val="bottom"/>
          </w:tcPr>
          <w:p>
            <w:pPr>
              <w:spacing w:after="0"/>
              <w:rPr>
                <w:sz w:val="24"/>
                <w:szCs w:val="24"/>
                <w:color w:val="auto"/>
              </w:rPr>
            </w:pPr>
          </w:p>
        </w:tc>
        <w:tc>
          <w:tcPr>
            <w:tcW w:w="80" w:type="dxa"/>
            <w:vAlign w:val="bottom"/>
            <w:shd w:val="clear" w:color="auto" w:fill="929292"/>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3"/>
          </w:tcPr>
          <w:p>
            <w:pPr>
              <w:jc w:val="right"/>
              <w:ind w:right="763"/>
              <w:spacing w:after="0"/>
              <w:rPr>
                <w:sz w:val="20"/>
                <w:szCs w:val="20"/>
                <w:color w:val="auto"/>
              </w:rPr>
            </w:pPr>
            <w:r>
              <w:rPr>
                <w:rFonts w:ascii="Arial" w:cs="Arial" w:eastAsia="Arial" w:hAnsi="Arial"/>
                <w:sz w:val="11"/>
                <w:szCs w:val="11"/>
                <w:color w:val="auto"/>
              </w:rPr>
              <w:t>Six months ended Jun. 30,</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gridSpan w:val="2"/>
            <w:shd w:val="clear" w:color="auto" w:fill="929292"/>
          </w:tcPr>
          <w:p>
            <w:pPr>
              <w:ind w:left="580"/>
              <w:spacing w:after="0"/>
              <w:rPr>
                <w:sz w:val="20"/>
                <w:szCs w:val="20"/>
                <w:color w:val="auto"/>
              </w:rPr>
            </w:pPr>
            <w:r>
              <w:rPr>
                <w:rFonts w:ascii="Arial" w:cs="Arial" w:eastAsia="Arial" w:hAnsi="Arial"/>
                <w:sz w:val="11"/>
                <w:szCs w:val="11"/>
                <w:color w:val="FFFFFF"/>
              </w:rPr>
              <w:t>% of Segment Profit (Loss)</w:t>
            </w:r>
          </w:p>
        </w:tc>
      </w:tr>
      <w:tr>
        <w:trPr>
          <w:trHeight w:val="159"/>
        </w:trPr>
        <w:tc>
          <w:tcPr>
            <w:tcW w:w="2580" w:type="dxa"/>
            <w:vAlign w:val="bottom"/>
            <w:tcBorders>
              <w:bottom w:val="single" w:sz="8" w:color="929292"/>
            </w:tcBorders>
          </w:tcPr>
          <w:p>
            <w:pPr>
              <w:ind w:left="740"/>
              <w:spacing w:after="0"/>
              <w:rPr>
                <w:sz w:val="20"/>
                <w:szCs w:val="20"/>
                <w:color w:val="auto"/>
              </w:rPr>
            </w:pPr>
            <w:r>
              <w:rPr>
                <w:rFonts w:ascii="Arial" w:cs="Arial" w:eastAsia="Arial" w:hAnsi="Arial"/>
                <w:sz w:val="11"/>
                <w:szCs w:val="11"/>
                <w:color w:val="auto"/>
              </w:rPr>
              <w:t>Segment Profit (Loss)</w:t>
            </w: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2022</w:t>
            </w:r>
          </w:p>
        </w:tc>
        <w:tc>
          <w:tcPr>
            <w:tcW w:w="380" w:type="dxa"/>
            <w:vAlign w:val="bottom"/>
            <w:tcBorders>
              <w:bottom w:val="single" w:sz="8" w:color="929292"/>
            </w:tcBorders>
          </w:tcPr>
          <w:p>
            <w:pPr>
              <w:spacing w:after="0"/>
              <w:rPr>
                <w:sz w:val="13"/>
                <w:szCs w:val="13"/>
                <w:color w:val="auto"/>
              </w:rPr>
            </w:pPr>
          </w:p>
        </w:tc>
        <w:tc>
          <w:tcPr>
            <w:tcW w:w="11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2021</w:t>
            </w:r>
          </w:p>
        </w:tc>
        <w:tc>
          <w:tcPr>
            <w:tcW w:w="300" w:type="dxa"/>
            <w:vAlign w:val="bottom"/>
            <w:tcBorders>
              <w:bottom w:val="single" w:sz="8" w:color="929292"/>
            </w:tcBorders>
          </w:tcPr>
          <w:p>
            <w:pPr>
              <w:spacing w:after="0"/>
              <w:rPr>
                <w:sz w:val="13"/>
                <w:szCs w:val="13"/>
                <w:color w:val="auto"/>
              </w:rPr>
            </w:pPr>
          </w:p>
        </w:tc>
        <w:tc>
          <w:tcPr>
            <w:tcW w:w="76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154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 Change</w:t>
            </w:r>
          </w:p>
        </w:tc>
        <w:tc>
          <w:tcPr>
            <w:tcW w:w="520" w:type="dxa"/>
            <w:vAlign w:val="bottom"/>
            <w:tcBorders>
              <w:bottom w:val="single" w:sz="8" w:color="929292"/>
            </w:tcBorders>
          </w:tcPr>
          <w:p>
            <w:pPr>
              <w:spacing w:after="0"/>
              <w:rPr>
                <w:sz w:val="13"/>
                <w:szCs w:val="13"/>
                <w:color w:val="auto"/>
              </w:rPr>
            </w:pP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0"/>
        </w:trPr>
        <w:tc>
          <w:tcPr>
            <w:tcW w:w="2580" w:type="dxa"/>
            <w:vAlign w:val="bottom"/>
          </w:tcPr>
          <w:p>
            <w:pPr>
              <w:ind w:left="20"/>
              <w:spacing w:after="0"/>
              <w:rPr>
                <w:sz w:val="20"/>
                <w:szCs w:val="20"/>
                <w:color w:val="auto"/>
              </w:rPr>
            </w:pPr>
            <w:r>
              <w:rPr>
                <w:rFonts w:ascii="Arial" w:cs="Arial" w:eastAsia="Arial" w:hAnsi="Arial"/>
                <w:sz w:val="11"/>
                <w:szCs w:val="11"/>
                <w:color w:val="auto"/>
              </w:rPr>
              <w:t>IFP and Other—Internal</w:t>
            </w:r>
          </w:p>
        </w:tc>
        <w:tc>
          <w:tcPr>
            <w:tcW w:w="8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2,172</w:t>
            </w:r>
          </w:p>
        </w:tc>
        <w:tc>
          <w:tcPr>
            <w:tcW w:w="3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(1,529)</w:t>
            </w:r>
          </w:p>
        </w:tc>
        <w:tc>
          <w:tcPr>
            <w:tcW w:w="3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1540" w:type="dxa"/>
            <w:vAlign w:val="bottom"/>
          </w:tcPr>
          <w:p>
            <w:pPr>
              <w:jc w:val="right"/>
              <w:ind w:right="1143"/>
              <w:spacing w:after="0"/>
              <w:rPr>
                <w:sz w:val="20"/>
                <w:szCs w:val="20"/>
                <w:color w:val="auto"/>
              </w:rPr>
            </w:pPr>
            <w:r>
              <w:rPr>
                <w:rFonts w:ascii="Arial" w:cs="Arial" w:eastAsia="Arial" w:hAnsi="Arial"/>
                <w:sz w:val="11"/>
                <w:szCs w:val="11"/>
                <w:color w:val="auto"/>
              </w:rPr>
              <w:t>3,701</w:t>
            </w: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NM</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NM</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NM</w:t>
            </w:r>
          </w:p>
        </w:tc>
      </w:tr>
      <w:tr>
        <w:trPr>
          <w:trHeight w:val="166"/>
        </w:trPr>
        <w:tc>
          <w:tcPr>
            <w:tcW w:w="2580" w:type="dxa"/>
            <w:vAlign w:val="bottom"/>
          </w:tcPr>
          <w:p>
            <w:pPr>
              <w:ind w:left="20"/>
              <w:spacing w:after="0"/>
              <w:rPr>
                <w:sz w:val="20"/>
                <w:szCs w:val="20"/>
                <w:color w:val="auto"/>
              </w:rPr>
            </w:pPr>
            <w:r>
              <w:rPr>
                <w:rFonts w:ascii="Arial" w:cs="Arial" w:eastAsia="Arial" w:hAnsi="Arial"/>
                <w:sz w:val="11"/>
                <w:szCs w:val="11"/>
                <w:color w:val="auto"/>
              </w:rPr>
              <w:t>IFP and Other—External</w:t>
            </w: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(669)</w:t>
            </w:r>
          </w:p>
        </w:tc>
        <w:tc>
          <w:tcPr>
            <w:tcW w:w="380" w:type="dxa"/>
            <w:vAlign w:val="bottom"/>
          </w:tcPr>
          <w:p>
            <w:pPr>
              <w:spacing w:after="0"/>
              <w:rPr>
                <w:sz w:val="14"/>
                <w:szCs w:val="14"/>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103</w:t>
            </w:r>
          </w:p>
        </w:tc>
        <w:tc>
          <w:tcPr>
            <w:tcW w:w="3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4"/>
                <w:szCs w:val="14"/>
                <w:color w:val="auto"/>
              </w:rPr>
            </w:pPr>
          </w:p>
        </w:tc>
        <w:tc>
          <w:tcPr>
            <w:tcW w:w="1540" w:type="dxa"/>
            <w:vAlign w:val="bottom"/>
          </w:tcPr>
          <w:p>
            <w:pPr>
              <w:jc w:val="right"/>
              <w:ind w:right="1123"/>
              <w:spacing w:after="0"/>
              <w:rPr>
                <w:sz w:val="20"/>
                <w:szCs w:val="20"/>
                <w:color w:val="auto"/>
              </w:rPr>
            </w:pPr>
            <w:r>
              <w:rPr>
                <w:rFonts w:ascii="Arial" w:cs="Arial" w:eastAsia="Arial" w:hAnsi="Arial"/>
                <w:sz w:val="11"/>
                <w:szCs w:val="11"/>
                <w:color w:val="auto"/>
              </w:rPr>
              <w:t>(772)</w:t>
            </w: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(750)%</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NM</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-208280</wp:posOffset>
            </wp:positionV>
            <wp:extent cx="15970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97025" cy="698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-727075</wp:posOffset>
            </wp:positionV>
            <wp:extent cx="159702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NM = Not meaningful</w:t>
      </w:r>
    </w:p>
    <w:p>
      <w:pPr>
        <w:spacing w:after="0" w:line="174"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For the IFP and Other—Internal segment, the increases were attributable to a reduction in operating costs driven by less investment in this segment, as we have implemented an overall strategic shift towards higher margin Medicare products. For the IFP and Other—External segment, the decreases was primarily driven by a change in product mix sold by external agencies, as well as an overall strategic shift towards higher margin Medicare products.</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Key Business Performance and Operating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4"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 The business and operating metrics are organized to reflect the evolution of a policy from submission to recognition of commission revenue.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Submitted Policies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Medicare Segments</w:t>
      </w:r>
    </w:p>
    <w:p>
      <w:pPr>
        <w:spacing w:after="0" w:line="167" w:lineRule="exact"/>
        <w:rPr>
          <w:sz w:val="20"/>
          <w:szCs w:val="20"/>
          <w:color w:val="auto"/>
        </w:rPr>
      </w:pPr>
    </w:p>
    <w:p>
      <w:pPr>
        <w:ind w:right="320"/>
        <w:spacing w:after="0" w:line="283" w:lineRule="auto"/>
        <w:rPr>
          <w:sz w:val="20"/>
          <w:szCs w:val="20"/>
          <w:color w:val="auto"/>
        </w:rPr>
      </w:pPr>
      <w:r>
        <w:rPr>
          <w:rFonts w:ascii="Arial" w:cs="Arial" w:eastAsia="Arial" w:hAnsi="Arial"/>
          <w:sz w:val="13"/>
          <w:szCs w:val="13"/>
          <w:color w:val="auto"/>
        </w:rPr>
        <w:t>Submitted Policies represent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125"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following table presents the number of Submitted Policies by product for the Medicare segments for the periods presented, split between those submissions that are commissionable (compensated through commissions received from carriers) and those that are non-commissionable (compensated via hourly fees and enrollment fees):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3"/>
        </w:trPr>
        <w:tc>
          <w:tcPr>
            <w:tcW w:w="5220" w:type="dxa"/>
            <w:vAlign w:val="bottom"/>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040" w:type="dxa"/>
            <w:vAlign w:val="bottom"/>
            <w:gridSpan w:val="3"/>
          </w:tcPr>
          <w:p>
            <w:pPr>
              <w:ind w:left="740"/>
              <w:spacing w:after="0"/>
              <w:rPr>
                <w:sz w:val="20"/>
                <w:szCs w:val="20"/>
                <w:color w:val="auto"/>
              </w:rPr>
            </w:pPr>
            <w:r>
              <w:rPr>
                <w:rFonts w:ascii="Arial" w:cs="Arial" w:eastAsia="Arial" w:hAnsi="Arial"/>
                <w:sz w:val="11"/>
                <w:szCs w:val="11"/>
                <w:color w:val="auto"/>
              </w:rPr>
              <w:t>Three months ended Jun. 30,</w:t>
            </w:r>
          </w:p>
        </w:tc>
        <w:tc>
          <w:tcPr>
            <w:tcW w:w="2940" w:type="dxa"/>
            <w:vAlign w:val="bottom"/>
            <w:gridSpan w:val="3"/>
          </w:tcPr>
          <w:p>
            <w:pPr>
              <w:jc w:val="right"/>
              <w:ind w:right="743"/>
              <w:spacing w:after="0"/>
              <w:rPr>
                <w:sz w:val="20"/>
                <w:szCs w:val="20"/>
                <w:color w:val="auto"/>
              </w:rPr>
            </w:pPr>
            <w:r>
              <w:rPr>
                <w:rFonts w:ascii="Arial" w:cs="Arial" w:eastAsia="Arial" w:hAnsi="Arial"/>
                <w:sz w:val="11"/>
                <w:szCs w:val="11"/>
                <w:color w:val="auto"/>
              </w:rPr>
              <w:t>Six months ended Jun. 30,</w:t>
            </w:r>
          </w:p>
        </w:tc>
      </w:tr>
      <w:tr>
        <w:trPr>
          <w:trHeight w:val="152"/>
        </w:trPr>
        <w:tc>
          <w:tcPr>
            <w:tcW w:w="522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Submitted Policies</w:t>
            </w:r>
          </w:p>
        </w:tc>
        <w:tc>
          <w:tcPr>
            <w:tcW w:w="8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863"/>
              <w:spacing w:after="0"/>
              <w:rPr>
                <w:sz w:val="20"/>
                <w:szCs w:val="20"/>
                <w:color w:val="auto"/>
              </w:rPr>
            </w:pPr>
            <w:r>
              <w:rPr>
                <w:rFonts w:ascii="Arial" w:cs="Arial" w:eastAsia="Arial" w:hAnsi="Arial"/>
                <w:sz w:val="11"/>
                <w:szCs w:val="11"/>
                <w:color w:val="auto"/>
              </w:rPr>
              <w:t>2022</w:t>
            </w:r>
          </w:p>
        </w:tc>
        <w:tc>
          <w:tcPr>
            <w:tcW w:w="118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2021</w:t>
            </w:r>
          </w:p>
        </w:tc>
        <w:tc>
          <w:tcPr>
            <w:tcW w:w="100" w:type="dxa"/>
            <w:vAlign w:val="bottom"/>
            <w:tcBorders>
              <w:bottom w:val="single" w:sz="8" w:color="929292"/>
            </w:tcBorders>
          </w:tcPr>
          <w:p>
            <w:pPr>
              <w:spacing w:after="0"/>
              <w:rPr>
                <w:sz w:val="13"/>
                <w:szCs w:val="13"/>
                <w:color w:val="auto"/>
              </w:rPr>
            </w:pPr>
          </w:p>
        </w:tc>
        <w:tc>
          <w:tcPr>
            <w:tcW w:w="142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929292"/>
            </w:tcBorders>
          </w:tcPr>
          <w:p>
            <w:pPr>
              <w:spacing w:after="0"/>
              <w:rPr>
                <w:sz w:val="13"/>
                <w:szCs w:val="13"/>
                <w:color w:val="auto"/>
              </w:rPr>
            </w:pPr>
          </w:p>
        </w:tc>
        <w:tc>
          <w:tcPr>
            <w:tcW w:w="142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2021</w:t>
            </w:r>
          </w:p>
        </w:tc>
      </w:tr>
      <w:tr>
        <w:trPr>
          <w:trHeight w:val="147"/>
        </w:trPr>
        <w:tc>
          <w:tcPr>
            <w:tcW w:w="5220" w:type="dxa"/>
            <w:vAlign w:val="bottom"/>
          </w:tcPr>
          <w:p>
            <w:pPr>
              <w:ind w:left="20"/>
              <w:spacing w:after="0"/>
              <w:rPr>
                <w:sz w:val="20"/>
                <w:szCs w:val="20"/>
                <w:color w:val="auto"/>
              </w:rPr>
            </w:pPr>
            <w:r>
              <w:rPr>
                <w:rFonts w:ascii="Arial" w:cs="Arial" w:eastAsia="Arial" w:hAnsi="Arial"/>
                <w:sz w:val="11"/>
                <w:szCs w:val="11"/>
                <w:i w:val="1"/>
                <w:iCs w:val="1"/>
                <w:color w:val="auto"/>
              </w:rPr>
              <w:t>Commissionable</w:t>
            </w:r>
          </w:p>
        </w:tc>
        <w:tc>
          <w:tcPr>
            <w:tcW w:w="80" w:type="dxa"/>
            <w:vAlign w:val="bottom"/>
            <w:shd w:val="clear" w:color="auto" w:fill="929292"/>
          </w:tcPr>
          <w:p>
            <w:pPr>
              <w:spacing w:after="0"/>
              <w:rPr>
                <w:sz w:val="12"/>
                <w:szCs w:val="12"/>
                <w:color w:val="auto"/>
              </w:rPr>
            </w:pPr>
          </w:p>
        </w:tc>
        <w:tc>
          <w:tcPr>
            <w:tcW w:w="1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MA</w:t>
            </w:r>
          </w:p>
        </w:tc>
        <w:tc>
          <w:tcPr>
            <w:tcW w:w="8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167,507</w:t>
            </w:r>
          </w:p>
        </w:tc>
        <w:tc>
          <w:tcPr>
            <w:tcW w:w="1180" w:type="dxa"/>
            <w:vAlign w:val="bottom"/>
          </w:tcPr>
          <w:p>
            <w:pPr>
              <w:jc w:val="right"/>
              <w:spacing w:after="0"/>
              <w:rPr>
                <w:sz w:val="20"/>
                <w:szCs w:val="20"/>
                <w:color w:val="auto"/>
              </w:rPr>
            </w:pPr>
            <w:r>
              <w:rPr>
                <w:rFonts w:ascii="Arial" w:cs="Arial" w:eastAsia="Arial" w:hAnsi="Arial"/>
                <w:sz w:val="11"/>
                <w:szCs w:val="11"/>
                <w:color w:val="auto"/>
              </w:rPr>
              <w:t>153,163</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453,616</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326,037</w:t>
            </w: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MS</w:t>
            </w:r>
          </w:p>
        </w:tc>
        <w:tc>
          <w:tcPr>
            <w:tcW w:w="8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194</w:t>
            </w:r>
          </w:p>
        </w:tc>
        <w:tc>
          <w:tcPr>
            <w:tcW w:w="1180" w:type="dxa"/>
            <w:vAlign w:val="bottom"/>
          </w:tcPr>
          <w:p>
            <w:pPr>
              <w:jc w:val="right"/>
              <w:spacing w:after="0"/>
              <w:rPr>
                <w:sz w:val="20"/>
                <w:szCs w:val="20"/>
                <w:color w:val="auto"/>
              </w:rPr>
            </w:pPr>
            <w:r>
              <w:rPr>
                <w:rFonts w:ascii="Arial" w:cs="Arial" w:eastAsia="Arial" w:hAnsi="Arial"/>
                <w:sz w:val="11"/>
                <w:szCs w:val="11"/>
                <w:color w:val="auto"/>
              </w:rPr>
              <w:t>1,022</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696</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2,126</w:t>
            </w: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PDP</w:t>
            </w:r>
          </w:p>
        </w:tc>
        <w:tc>
          <w:tcPr>
            <w:tcW w:w="8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4,935</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2,374</w:t>
            </w:r>
          </w:p>
        </w:tc>
        <w:tc>
          <w:tcPr>
            <w:tcW w:w="100" w:type="dxa"/>
            <w:vAlign w:val="bottom"/>
            <w:tcBorders>
              <w:bottom w:val="single" w:sz="8" w:color="929292"/>
            </w:tcBorders>
          </w:tcPr>
          <w:p>
            <w:pPr>
              <w:spacing w:after="0"/>
              <w:rPr>
                <w:sz w:val="13"/>
                <w:szCs w:val="13"/>
                <w:color w:val="auto"/>
              </w:rPr>
            </w:pPr>
          </w:p>
        </w:tc>
        <w:tc>
          <w:tcPr>
            <w:tcW w:w="142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11,460</w:t>
            </w:r>
          </w:p>
        </w:tc>
        <w:tc>
          <w:tcPr>
            <w:tcW w:w="100" w:type="dxa"/>
            <w:vAlign w:val="bottom"/>
            <w:tcBorders>
              <w:bottom w:val="single" w:sz="8" w:color="929292"/>
            </w:tcBorders>
          </w:tcPr>
          <w:p>
            <w:pPr>
              <w:spacing w:after="0"/>
              <w:rPr>
                <w:sz w:val="13"/>
                <w:szCs w:val="13"/>
                <w:color w:val="auto"/>
              </w:rPr>
            </w:pPr>
          </w:p>
        </w:tc>
        <w:tc>
          <w:tcPr>
            <w:tcW w:w="142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4,967</w:t>
            </w:r>
          </w:p>
        </w:tc>
      </w:tr>
      <w:tr>
        <w:trPr>
          <w:trHeight w:val="156"/>
        </w:trPr>
        <w:tc>
          <w:tcPr>
            <w:tcW w:w="5220" w:type="dxa"/>
            <w:vAlign w:val="bottom"/>
            <w:tcBorders>
              <w:bottom w:val="single" w:sz="8" w:color="929292"/>
            </w:tcBorders>
          </w:tcPr>
          <w:p>
            <w:pPr>
              <w:ind w:left="20"/>
              <w:spacing w:after="0"/>
              <w:rPr>
                <w:sz w:val="20"/>
                <w:szCs w:val="20"/>
                <w:color w:val="auto"/>
              </w:rPr>
            </w:pPr>
            <w:r>
              <w:rPr>
                <w:rFonts w:ascii="Arial" w:cs="Arial" w:eastAsia="Arial" w:hAnsi="Arial"/>
                <w:sz w:val="11"/>
                <w:szCs w:val="11"/>
                <w:b w:val="1"/>
                <w:bCs w:val="1"/>
                <w:color w:val="auto"/>
              </w:rPr>
              <w:t>Medicare commissionable Submitted Policies</w:t>
            </w:r>
          </w:p>
        </w:tc>
        <w:tc>
          <w:tcPr>
            <w:tcW w:w="8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172,636</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156,559</w:t>
            </w:r>
          </w:p>
        </w:tc>
        <w:tc>
          <w:tcPr>
            <w:tcW w:w="100" w:type="dxa"/>
            <w:vAlign w:val="bottom"/>
            <w:tcBorders>
              <w:bottom w:val="single" w:sz="8" w:color="929292"/>
            </w:tcBorders>
          </w:tcPr>
          <w:p>
            <w:pPr>
              <w:spacing w:after="0"/>
              <w:rPr>
                <w:sz w:val="13"/>
                <w:szCs w:val="13"/>
                <w:color w:val="auto"/>
              </w:rPr>
            </w:pPr>
          </w:p>
        </w:tc>
        <w:tc>
          <w:tcPr>
            <w:tcW w:w="142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465,772</w:t>
            </w:r>
          </w:p>
        </w:tc>
        <w:tc>
          <w:tcPr>
            <w:tcW w:w="100" w:type="dxa"/>
            <w:vAlign w:val="bottom"/>
            <w:tcBorders>
              <w:bottom w:val="single" w:sz="8" w:color="929292"/>
            </w:tcBorders>
          </w:tcPr>
          <w:p>
            <w:pPr>
              <w:spacing w:after="0"/>
              <w:rPr>
                <w:sz w:val="13"/>
                <w:szCs w:val="13"/>
                <w:color w:val="auto"/>
              </w:rPr>
            </w:pPr>
          </w:p>
        </w:tc>
        <w:tc>
          <w:tcPr>
            <w:tcW w:w="142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333,130</w:t>
            </w:r>
          </w:p>
        </w:tc>
      </w:tr>
      <w:tr>
        <w:trPr>
          <w:trHeight w:val="144"/>
        </w:trPr>
        <w:tc>
          <w:tcPr>
            <w:tcW w:w="5220" w:type="dxa"/>
            <w:vAlign w:val="bottom"/>
          </w:tcPr>
          <w:p>
            <w:pPr>
              <w:ind w:left="20"/>
              <w:spacing w:after="0"/>
              <w:rPr>
                <w:sz w:val="20"/>
                <w:szCs w:val="20"/>
                <w:color w:val="auto"/>
              </w:rPr>
            </w:pPr>
            <w:r>
              <w:rPr>
                <w:rFonts w:ascii="Arial" w:cs="Arial" w:eastAsia="Arial" w:hAnsi="Arial"/>
                <w:sz w:val="11"/>
                <w:szCs w:val="11"/>
                <w:i w:val="1"/>
                <w:iCs w:val="1"/>
                <w:color w:val="auto"/>
              </w:rPr>
              <w:t>Non-commissionable</w:t>
            </w:r>
          </w:p>
        </w:tc>
        <w:tc>
          <w:tcPr>
            <w:tcW w:w="80" w:type="dxa"/>
            <w:vAlign w:val="bottom"/>
            <w:shd w:val="clear" w:color="auto" w:fill="929292"/>
          </w:tcPr>
          <w:p>
            <w:pPr>
              <w:spacing w:after="0"/>
              <w:rPr>
                <w:sz w:val="12"/>
                <w:szCs w:val="12"/>
                <w:color w:val="auto"/>
              </w:rPr>
            </w:pPr>
          </w:p>
        </w:tc>
        <w:tc>
          <w:tcPr>
            <w:tcW w:w="1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MA</w:t>
            </w:r>
          </w:p>
        </w:tc>
        <w:tc>
          <w:tcPr>
            <w:tcW w:w="8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2,750</w:t>
            </w:r>
          </w:p>
        </w:tc>
        <w:tc>
          <w:tcPr>
            <w:tcW w:w="1180" w:type="dxa"/>
            <w:vAlign w:val="bottom"/>
          </w:tcPr>
          <w:p>
            <w:pPr>
              <w:jc w:val="right"/>
              <w:spacing w:after="0"/>
              <w:rPr>
                <w:sz w:val="20"/>
                <w:szCs w:val="20"/>
                <w:color w:val="auto"/>
              </w:rPr>
            </w:pPr>
            <w:r>
              <w:rPr>
                <w:rFonts w:ascii="Arial" w:cs="Arial" w:eastAsia="Arial" w:hAnsi="Arial"/>
                <w:sz w:val="11"/>
                <w:szCs w:val="11"/>
                <w:color w:val="auto"/>
              </w:rPr>
              <w:t>3,232</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7,237</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9,171</w:t>
            </w: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MS</w:t>
            </w:r>
          </w:p>
        </w:tc>
        <w:tc>
          <w:tcPr>
            <w:tcW w:w="8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1,794</w:t>
            </w:r>
          </w:p>
        </w:tc>
        <w:tc>
          <w:tcPr>
            <w:tcW w:w="1180" w:type="dxa"/>
            <w:vAlign w:val="bottom"/>
          </w:tcPr>
          <w:p>
            <w:pPr>
              <w:jc w:val="right"/>
              <w:spacing w:after="0"/>
              <w:rPr>
                <w:sz w:val="20"/>
                <w:szCs w:val="20"/>
                <w:color w:val="auto"/>
              </w:rPr>
            </w:pPr>
            <w:r>
              <w:rPr>
                <w:rFonts w:ascii="Arial" w:cs="Arial" w:eastAsia="Arial" w:hAnsi="Arial"/>
                <w:sz w:val="11"/>
                <w:szCs w:val="11"/>
                <w:color w:val="auto"/>
              </w:rPr>
              <w:t>2,042</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3,985</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3,692</w:t>
            </w: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PDP</w:t>
            </w:r>
          </w:p>
        </w:tc>
        <w:tc>
          <w:tcPr>
            <w:tcW w:w="8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731</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791</w:t>
            </w:r>
          </w:p>
        </w:tc>
        <w:tc>
          <w:tcPr>
            <w:tcW w:w="100" w:type="dxa"/>
            <w:vAlign w:val="bottom"/>
            <w:tcBorders>
              <w:bottom w:val="single" w:sz="8" w:color="929292"/>
            </w:tcBorders>
          </w:tcPr>
          <w:p>
            <w:pPr>
              <w:spacing w:after="0"/>
              <w:rPr>
                <w:sz w:val="13"/>
                <w:szCs w:val="13"/>
                <w:color w:val="auto"/>
              </w:rPr>
            </w:pPr>
          </w:p>
        </w:tc>
        <w:tc>
          <w:tcPr>
            <w:tcW w:w="142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1,560</w:t>
            </w:r>
          </w:p>
        </w:tc>
        <w:tc>
          <w:tcPr>
            <w:tcW w:w="100" w:type="dxa"/>
            <w:vAlign w:val="bottom"/>
            <w:tcBorders>
              <w:bottom w:val="single" w:sz="8" w:color="929292"/>
            </w:tcBorders>
          </w:tcPr>
          <w:p>
            <w:pPr>
              <w:spacing w:after="0"/>
              <w:rPr>
                <w:sz w:val="13"/>
                <w:szCs w:val="13"/>
                <w:color w:val="auto"/>
              </w:rPr>
            </w:pPr>
          </w:p>
        </w:tc>
        <w:tc>
          <w:tcPr>
            <w:tcW w:w="142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1,676</w:t>
            </w:r>
          </w:p>
        </w:tc>
      </w:tr>
      <w:tr>
        <w:trPr>
          <w:trHeight w:val="156"/>
        </w:trPr>
        <w:tc>
          <w:tcPr>
            <w:tcW w:w="5220" w:type="dxa"/>
            <w:vAlign w:val="bottom"/>
          </w:tcPr>
          <w:p>
            <w:pPr>
              <w:ind w:left="20"/>
              <w:spacing w:after="0"/>
              <w:rPr>
                <w:sz w:val="20"/>
                <w:szCs w:val="20"/>
                <w:color w:val="auto"/>
              </w:rPr>
            </w:pPr>
            <w:r>
              <w:rPr>
                <w:rFonts w:ascii="Arial" w:cs="Arial" w:eastAsia="Arial" w:hAnsi="Arial"/>
                <w:sz w:val="11"/>
                <w:szCs w:val="11"/>
                <w:b w:val="1"/>
                <w:bCs w:val="1"/>
                <w:color w:val="auto"/>
              </w:rPr>
              <w:t>Medicare non-commissionable Submitted Policies</w:t>
            </w:r>
          </w:p>
        </w:tc>
        <w:tc>
          <w:tcPr>
            <w:tcW w:w="8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5,275</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6,065</w:t>
            </w:r>
          </w:p>
        </w:tc>
        <w:tc>
          <w:tcPr>
            <w:tcW w:w="100" w:type="dxa"/>
            <w:vAlign w:val="bottom"/>
            <w:tcBorders>
              <w:bottom w:val="single" w:sz="8" w:color="929292"/>
            </w:tcBorders>
          </w:tcPr>
          <w:p>
            <w:pPr>
              <w:spacing w:after="0"/>
              <w:rPr>
                <w:sz w:val="13"/>
                <w:szCs w:val="13"/>
                <w:color w:val="auto"/>
              </w:rPr>
            </w:pPr>
          </w:p>
        </w:tc>
        <w:tc>
          <w:tcPr>
            <w:tcW w:w="142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12,782</w:t>
            </w:r>
          </w:p>
        </w:tc>
        <w:tc>
          <w:tcPr>
            <w:tcW w:w="100" w:type="dxa"/>
            <w:vAlign w:val="bottom"/>
            <w:tcBorders>
              <w:bottom w:val="single" w:sz="8" w:color="929292"/>
            </w:tcBorders>
          </w:tcPr>
          <w:p>
            <w:pPr>
              <w:spacing w:after="0"/>
              <w:rPr>
                <w:sz w:val="13"/>
                <w:szCs w:val="13"/>
                <w:color w:val="auto"/>
              </w:rPr>
            </w:pPr>
          </w:p>
        </w:tc>
        <w:tc>
          <w:tcPr>
            <w:tcW w:w="142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14,539</w:t>
            </w:r>
          </w:p>
        </w:tc>
      </w:tr>
      <w:tr>
        <w:trPr>
          <w:trHeight w:val="133"/>
        </w:trPr>
        <w:tc>
          <w:tcPr>
            <w:tcW w:w="5220" w:type="dxa"/>
            <w:vAlign w:val="bottom"/>
          </w:tcPr>
          <w:p>
            <w:pPr>
              <w:ind w:left="20"/>
              <w:spacing w:after="0"/>
              <w:rPr>
                <w:sz w:val="20"/>
                <w:szCs w:val="20"/>
                <w:color w:val="auto"/>
              </w:rPr>
            </w:pPr>
            <w:r>
              <w:rPr>
                <w:rFonts w:ascii="Arial" w:cs="Arial" w:eastAsia="Arial" w:hAnsi="Arial"/>
                <w:sz w:val="11"/>
                <w:szCs w:val="11"/>
                <w:i w:val="1"/>
                <w:iCs w:val="1"/>
                <w:color w:val="auto"/>
              </w:rPr>
              <w:t>Total Submitted Policies</w:t>
            </w:r>
          </w:p>
        </w:tc>
        <w:tc>
          <w:tcPr>
            <w:tcW w:w="80" w:type="dxa"/>
            <w:vAlign w:val="bottom"/>
            <w:shd w:val="clear" w:color="auto" w:fill="929292"/>
          </w:tcPr>
          <w:p>
            <w:pPr>
              <w:spacing w:after="0"/>
              <w:rPr>
                <w:sz w:val="11"/>
                <w:szCs w:val="11"/>
                <w:color w:val="auto"/>
              </w:rPr>
            </w:pPr>
          </w:p>
        </w:tc>
        <w:tc>
          <w:tcPr>
            <w:tcW w:w="1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MA</w:t>
            </w:r>
          </w:p>
        </w:tc>
        <w:tc>
          <w:tcPr>
            <w:tcW w:w="8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170,257</w:t>
            </w:r>
          </w:p>
        </w:tc>
        <w:tc>
          <w:tcPr>
            <w:tcW w:w="1180" w:type="dxa"/>
            <w:vAlign w:val="bottom"/>
          </w:tcPr>
          <w:p>
            <w:pPr>
              <w:jc w:val="right"/>
              <w:spacing w:after="0"/>
              <w:rPr>
                <w:sz w:val="20"/>
                <w:szCs w:val="20"/>
                <w:color w:val="auto"/>
              </w:rPr>
            </w:pPr>
            <w:r>
              <w:rPr>
                <w:rFonts w:ascii="Arial" w:cs="Arial" w:eastAsia="Arial" w:hAnsi="Arial"/>
                <w:sz w:val="11"/>
                <w:szCs w:val="11"/>
                <w:color w:val="auto"/>
              </w:rPr>
              <w:t>156,395</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460,853</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335,208</w:t>
            </w: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MS</w:t>
            </w:r>
          </w:p>
        </w:tc>
        <w:tc>
          <w:tcPr>
            <w:tcW w:w="8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1,988</w:t>
            </w:r>
          </w:p>
        </w:tc>
        <w:tc>
          <w:tcPr>
            <w:tcW w:w="1180" w:type="dxa"/>
            <w:vAlign w:val="bottom"/>
          </w:tcPr>
          <w:p>
            <w:pPr>
              <w:jc w:val="right"/>
              <w:spacing w:after="0"/>
              <w:rPr>
                <w:sz w:val="20"/>
                <w:szCs w:val="20"/>
                <w:color w:val="auto"/>
              </w:rPr>
            </w:pPr>
            <w:r>
              <w:rPr>
                <w:rFonts w:ascii="Arial" w:cs="Arial" w:eastAsia="Arial" w:hAnsi="Arial"/>
                <w:sz w:val="11"/>
                <w:szCs w:val="11"/>
                <w:color w:val="auto"/>
              </w:rPr>
              <w:t>3,064</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4,681</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5,818</w:t>
            </w:r>
          </w:p>
        </w:tc>
      </w:tr>
      <w:tr>
        <w:trPr>
          <w:trHeight w:val="162"/>
        </w:trPr>
        <w:tc>
          <w:tcPr>
            <w:tcW w:w="5220" w:type="dxa"/>
            <w:vAlign w:val="bottom"/>
          </w:tcPr>
          <w:p>
            <w:pPr>
              <w:ind w:left="100"/>
              <w:spacing w:after="0"/>
              <w:rPr>
                <w:sz w:val="20"/>
                <w:szCs w:val="20"/>
                <w:color w:val="auto"/>
              </w:rPr>
            </w:pPr>
            <w:r>
              <w:rPr>
                <w:rFonts w:ascii="Arial" w:cs="Arial" w:eastAsia="Arial" w:hAnsi="Arial"/>
                <w:sz w:val="11"/>
                <w:szCs w:val="11"/>
                <w:color w:val="auto"/>
              </w:rPr>
              <w:t>PDP</w:t>
            </w:r>
          </w:p>
        </w:tc>
        <w:tc>
          <w:tcPr>
            <w:tcW w:w="80" w:type="dxa"/>
            <w:vAlign w:val="bottom"/>
            <w:tcBorders>
              <w:bottom w:val="single" w:sz="8" w:color="929292"/>
            </w:tcBorders>
            <w:shd w:val="clear" w:color="auto" w:fill="929292"/>
          </w:tcPr>
          <w:p>
            <w:pPr>
              <w:spacing w:after="0"/>
              <w:rPr>
                <w:sz w:val="14"/>
                <w:szCs w:val="14"/>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5,666</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3,165</w:t>
            </w:r>
          </w:p>
        </w:tc>
        <w:tc>
          <w:tcPr>
            <w:tcW w:w="100" w:type="dxa"/>
            <w:vAlign w:val="bottom"/>
          </w:tcPr>
          <w:p>
            <w:pPr>
              <w:spacing w:after="0"/>
              <w:rPr>
                <w:sz w:val="14"/>
                <w:szCs w:val="14"/>
                <w:color w:val="auto"/>
              </w:rPr>
            </w:pPr>
          </w:p>
        </w:tc>
        <w:tc>
          <w:tcPr>
            <w:tcW w:w="142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13,020</w:t>
            </w:r>
          </w:p>
        </w:tc>
        <w:tc>
          <w:tcPr>
            <w:tcW w:w="100" w:type="dxa"/>
            <w:vAlign w:val="bottom"/>
          </w:tcPr>
          <w:p>
            <w:pPr>
              <w:spacing w:after="0"/>
              <w:rPr>
                <w:sz w:val="14"/>
                <w:szCs w:val="14"/>
                <w:color w:val="auto"/>
              </w:rPr>
            </w:pPr>
          </w:p>
        </w:tc>
        <w:tc>
          <w:tcPr>
            <w:tcW w:w="142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6,643</w:t>
            </w:r>
          </w:p>
        </w:tc>
      </w:tr>
      <w:tr>
        <w:trPr>
          <w:trHeight w:val="173"/>
        </w:trPr>
        <w:tc>
          <w:tcPr>
            <w:tcW w:w="5220" w:type="dxa"/>
            <w:vAlign w:val="bottom"/>
          </w:tcPr>
          <w:p>
            <w:pPr>
              <w:ind w:left="20"/>
              <w:spacing w:after="0"/>
              <w:rPr>
                <w:sz w:val="20"/>
                <w:szCs w:val="20"/>
                <w:color w:val="auto"/>
              </w:rPr>
            </w:pPr>
            <w:r>
              <w:rPr>
                <w:rFonts w:ascii="Arial" w:cs="Arial" w:eastAsia="Arial" w:hAnsi="Arial"/>
                <w:sz w:val="11"/>
                <w:szCs w:val="11"/>
                <w:b w:val="1"/>
                <w:bCs w:val="1"/>
                <w:color w:val="auto"/>
              </w:rPr>
              <w:t>Total Medicare commissionable and non-commissionable Submitted Policies</w:t>
            </w:r>
          </w:p>
        </w:tc>
        <w:tc>
          <w:tcPr>
            <w:tcW w:w="80" w:type="dxa"/>
            <w:vAlign w:val="bottom"/>
            <w:tcBorders>
              <w:bottom w:val="single" w:sz="8" w:color="929292"/>
            </w:tcBorders>
            <w:shd w:val="clear" w:color="auto" w:fill="929292"/>
          </w:tcPr>
          <w:p>
            <w:pPr>
              <w:spacing w:after="0"/>
              <w:rPr>
                <w:sz w:val="15"/>
                <w:szCs w:val="15"/>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177,911</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162,624</w:t>
            </w:r>
          </w:p>
        </w:tc>
        <w:tc>
          <w:tcPr>
            <w:tcW w:w="100" w:type="dxa"/>
            <w:vAlign w:val="bottom"/>
            <w:tcBorders>
              <w:bottom w:val="single" w:sz="8" w:color="929292"/>
            </w:tcBorders>
          </w:tcPr>
          <w:p>
            <w:pPr>
              <w:spacing w:after="0"/>
              <w:rPr>
                <w:sz w:val="15"/>
                <w:szCs w:val="15"/>
                <w:color w:val="auto"/>
              </w:rPr>
            </w:pPr>
          </w:p>
        </w:tc>
        <w:tc>
          <w:tcPr>
            <w:tcW w:w="142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478,554</w:t>
            </w:r>
          </w:p>
        </w:tc>
        <w:tc>
          <w:tcPr>
            <w:tcW w:w="100" w:type="dxa"/>
            <w:vAlign w:val="bottom"/>
            <w:tcBorders>
              <w:bottom w:val="single" w:sz="8" w:color="929292"/>
            </w:tcBorders>
          </w:tcPr>
          <w:p>
            <w:pPr>
              <w:spacing w:after="0"/>
              <w:rPr>
                <w:sz w:val="15"/>
                <w:szCs w:val="15"/>
                <w:color w:val="auto"/>
              </w:rPr>
            </w:pPr>
          </w:p>
        </w:tc>
        <w:tc>
          <w:tcPr>
            <w:tcW w:w="142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347,669</w:t>
            </w:r>
          </w:p>
        </w:tc>
      </w:tr>
      <w:tr>
        <w:trPr>
          <w:trHeight w:val="20"/>
        </w:trPr>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c>
          <w:tcPr>
            <w:tcW w:w="100" w:type="dxa"/>
            <w:vAlign w:val="bottom"/>
            <w:tcBorders>
              <w:bottom w:val="single" w:sz="8" w:color="929292"/>
            </w:tcBorders>
          </w:tcPr>
          <w:p>
            <w:pPr>
              <w:spacing w:after="0" w:line="20" w:lineRule="exact"/>
              <w:rPr>
                <w:sz w:val="1"/>
                <w:szCs w:val="1"/>
                <w:color w:val="auto"/>
              </w:rPr>
            </w:pPr>
          </w:p>
        </w:tc>
        <w:tc>
          <w:tcPr>
            <w:tcW w:w="1420" w:type="dxa"/>
            <w:vAlign w:val="bottom"/>
            <w:tcBorders>
              <w:bottom w:val="single" w:sz="8" w:color="929292"/>
            </w:tcBorders>
          </w:tcPr>
          <w:p>
            <w:pPr>
              <w:spacing w:after="0" w:line="20" w:lineRule="exact"/>
              <w:rPr>
                <w:sz w:val="1"/>
                <w:szCs w:val="1"/>
                <w:color w:val="auto"/>
              </w:rPr>
            </w:pPr>
          </w:p>
        </w:tc>
        <w:tc>
          <w:tcPr>
            <w:tcW w:w="100" w:type="dxa"/>
            <w:vAlign w:val="bottom"/>
            <w:tcBorders>
              <w:bottom w:val="single" w:sz="8" w:color="929292"/>
            </w:tcBorders>
          </w:tcPr>
          <w:p>
            <w:pPr>
              <w:spacing w:after="0" w:line="20" w:lineRule="exact"/>
              <w:rPr>
                <w:sz w:val="1"/>
                <w:szCs w:val="1"/>
                <w:color w:val="auto"/>
              </w:rPr>
            </w:pPr>
          </w:p>
        </w:tc>
        <w:tc>
          <w:tcPr>
            <w:tcW w:w="1420" w:type="dxa"/>
            <w:vAlign w:val="bottom"/>
            <w:tcBorders>
              <w:bottom w:val="single" w:sz="8" w:color="929292"/>
            </w:tcBorders>
          </w:tcPr>
          <w:p>
            <w:pPr>
              <w:spacing w:after="0" w:line="20" w:lineRule="exact"/>
              <w:rPr>
                <w:sz w:val="1"/>
                <w:szCs w:val="1"/>
                <w:color w:val="auto"/>
              </w:rPr>
            </w:pPr>
          </w:p>
        </w:tc>
      </w:tr>
    </w:tbl>
    <w:p>
      <w:pPr>
        <w:spacing w:after="0" w:line="234" w:lineRule="exact"/>
        <w:rPr>
          <w:sz w:val="20"/>
          <w:szCs w:val="20"/>
          <w:color w:val="auto"/>
        </w:rPr>
      </w:pPr>
    </w:p>
    <w:p>
      <w:pPr>
        <w:ind w:right="280"/>
        <w:spacing w:after="0" w:line="252" w:lineRule="auto"/>
        <w:rPr>
          <w:sz w:val="20"/>
          <w:szCs w:val="20"/>
          <w:color w:val="auto"/>
        </w:rPr>
      </w:pPr>
      <w:r>
        <w:rPr>
          <w:rFonts w:ascii="Arial" w:cs="Arial" w:eastAsia="Arial" w:hAnsi="Arial"/>
          <w:sz w:val="13"/>
          <w:szCs w:val="13"/>
          <w:color w:val="auto"/>
        </w:rPr>
        <w:t>The increases in the Medicare commissionable Submitted Policies for the three and six months ended June 30, 2022 compared to the prior year periods were attributable to an increase in agent headcount, driven by the hiring, onboarding, and training of additional agents throughout 2021, particularly in the second and third quarters as we prepared for AEP, resulting in a larger agent base heading into 2022.</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IFP and Other Segments</w:t>
      </w:r>
    </w:p>
    <w:p>
      <w:pPr>
        <w:spacing w:after="0" w:line="167"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Total Submitted Policies for the IFP and Other segments were 3,861, 13,066, 16,498, and 33,322 for the three and six months ended June 30, 2022 and 2021, respectively. The decreases were due to a change in strategy to prioritize agents and marketing and advertising spend in the Medicare segments instead of the IFP and Other segments.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Approved Submissions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Medicare Segments</w:t>
      </w:r>
    </w:p>
    <w:p>
      <w:pPr>
        <w:spacing w:after="0" w:line="167"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Approved Submissions represent Submitted Policies approved by carriers for the identified product during the indicated period. Not all Approved Submissions will go in force, as some individuals we enroll may not ultimately pay their insurance premiums or may switch out of a policy within the disenrollment period during the first 90 days of the policy. In general, the relationship between Submitted Policies and Approved Submissions has been steady over time. Therefore, factors impacting the number of Submitted Policies also impact the number of Approved Submissions.</w:t>
      </w:r>
    </w:p>
    <w:p>
      <w:pPr>
        <w:spacing w:after="0" w:line="138" w:lineRule="exact"/>
        <w:rPr>
          <w:sz w:val="20"/>
          <w:szCs w:val="20"/>
          <w:color w:val="auto"/>
        </w:rPr>
      </w:pPr>
    </w:p>
    <w:p>
      <w:pPr>
        <w:ind w:right="180"/>
        <w:spacing w:after="0" w:line="283" w:lineRule="auto"/>
        <w:rPr>
          <w:sz w:val="20"/>
          <w:szCs w:val="20"/>
          <w:color w:val="auto"/>
        </w:rPr>
      </w:pPr>
      <w:r>
        <w:rPr>
          <w:rFonts w:ascii="Arial" w:cs="Arial" w:eastAsia="Arial" w:hAnsi="Arial"/>
          <w:sz w:val="13"/>
          <w:szCs w:val="13"/>
          <w:color w:val="auto"/>
        </w:rPr>
        <w:t>The following tables present the number of Approved Submissions by product relating to commissionable policies for each of the Medicare segments for the periods presented. Only commissionable policies are used to calculate our LTV.</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3"/>
        </w:trPr>
        <w:tc>
          <w:tcPr>
            <w:tcW w:w="5220" w:type="dxa"/>
            <w:vAlign w:val="bottom"/>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280" w:type="dxa"/>
            <w:vAlign w:val="bottom"/>
            <w:gridSpan w:val="2"/>
          </w:tcPr>
          <w:p>
            <w:pPr>
              <w:jc w:val="right"/>
              <w:ind w:right="1003"/>
              <w:spacing w:after="0"/>
              <w:rPr>
                <w:sz w:val="20"/>
                <w:szCs w:val="20"/>
                <w:color w:val="auto"/>
              </w:rPr>
            </w:pPr>
            <w:r>
              <w:rPr>
                <w:rFonts w:ascii="Arial" w:cs="Arial" w:eastAsia="Arial" w:hAnsi="Arial"/>
                <w:sz w:val="11"/>
                <w:szCs w:val="11"/>
                <w:color w:val="auto"/>
              </w:rPr>
              <w:t>Three months ended Jun. 30,</w:t>
            </w:r>
          </w:p>
        </w:tc>
        <w:tc>
          <w:tcPr>
            <w:tcW w:w="2700" w:type="dxa"/>
            <w:vAlign w:val="bottom"/>
            <w:gridSpan w:val="2"/>
          </w:tcPr>
          <w:p>
            <w:pPr>
              <w:jc w:val="right"/>
              <w:ind w:right="743"/>
              <w:spacing w:after="0"/>
              <w:rPr>
                <w:sz w:val="20"/>
                <w:szCs w:val="20"/>
                <w:color w:val="auto"/>
              </w:rPr>
            </w:pPr>
            <w:r>
              <w:rPr>
                <w:rFonts w:ascii="Arial" w:cs="Arial" w:eastAsia="Arial" w:hAnsi="Arial"/>
                <w:sz w:val="11"/>
                <w:szCs w:val="11"/>
                <w:color w:val="auto"/>
              </w:rPr>
              <w:t>Six months ended Jun. 30,</w:t>
            </w:r>
          </w:p>
        </w:tc>
      </w:tr>
      <w:tr>
        <w:trPr>
          <w:trHeight w:val="152"/>
        </w:trPr>
        <w:tc>
          <w:tcPr>
            <w:tcW w:w="522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Approved Submissions</w:t>
            </w:r>
          </w:p>
        </w:tc>
        <w:tc>
          <w:tcPr>
            <w:tcW w:w="8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863"/>
              <w:spacing w:after="0"/>
              <w:rPr>
                <w:sz w:val="20"/>
                <w:szCs w:val="20"/>
                <w:color w:val="auto"/>
              </w:rPr>
            </w:pPr>
            <w:r>
              <w:rPr>
                <w:rFonts w:ascii="Arial" w:cs="Arial" w:eastAsia="Arial" w:hAnsi="Arial"/>
                <w:sz w:val="11"/>
                <w:szCs w:val="11"/>
                <w:color w:val="auto"/>
              </w:rPr>
              <w:t>2022</w:t>
            </w:r>
          </w:p>
        </w:tc>
        <w:tc>
          <w:tcPr>
            <w:tcW w:w="1520" w:type="dxa"/>
            <w:vAlign w:val="bottom"/>
            <w:tcBorders>
              <w:bottom w:val="single" w:sz="8" w:color="929292"/>
            </w:tcBorders>
          </w:tcPr>
          <w:p>
            <w:pPr>
              <w:jc w:val="right"/>
              <w:ind w:right="863"/>
              <w:spacing w:after="0"/>
              <w:rPr>
                <w:sz w:val="20"/>
                <w:szCs w:val="20"/>
                <w:color w:val="auto"/>
              </w:rPr>
            </w:pPr>
            <w:r>
              <w:rPr>
                <w:rFonts w:ascii="Arial" w:cs="Arial" w:eastAsia="Arial" w:hAnsi="Arial"/>
                <w:sz w:val="11"/>
                <w:szCs w:val="11"/>
                <w:color w:val="auto"/>
              </w:rPr>
              <w:t>2021</w:t>
            </w:r>
          </w:p>
        </w:tc>
        <w:tc>
          <w:tcPr>
            <w:tcW w:w="1520" w:type="dxa"/>
            <w:vAlign w:val="bottom"/>
            <w:tcBorders>
              <w:bottom w:val="single" w:sz="8" w:color="929292"/>
            </w:tcBorders>
          </w:tcPr>
          <w:p>
            <w:pPr>
              <w:jc w:val="right"/>
              <w:ind w:right="863"/>
              <w:spacing w:after="0"/>
              <w:rPr>
                <w:sz w:val="20"/>
                <w:szCs w:val="20"/>
                <w:color w:val="auto"/>
              </w:rPr>
            </w:pPr>
            <w:r>
              <w:rPr>
                <w:rFonts w:ascii="Arial" w:cs="Arial" w:eastAsia="Arial" w:hAnsi="Arial"/>
                <w:sz w:val="11"/>
                <w:szCs w:val="11"/>
                <w:color w:val="auto"/>
              </w:rPr>
              <w:t>2022</w:t>
            </w:r>
          </w:p>
        </w:tc>
        <w:tc>
          <w:tcPr>
            <w:tcW w:w="118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2021</w:t>
            </w:r>
          </w:p>
        </w:tc>
      </w:tr>
      <w:tr>
        <w:trPr>
          <w:trHeight w:val="147"/>
        </w:trPr>
        <w:tc>
          <w:tcPr>
            <w:tcW w:w="5220" w:type="dxa"/>
            <w:vAlign w:val="bottom"/>
          </w:tcPr>
          <w:p>
            <w:pPr>
              <w:ind w:left="20"/>
              <w:spacing w:after="0"/>
              <w:rPr>
                <w:sz w:val="20"/>
                <w:szCs w:val="20"/>
                <w:color w:val="auto"/>
              </w:rPr>
            </w:pPr>
            <w:r>
              <w:rPr>
                <w:rFonts w:ascii="Arial" w:cs="Arial" w:eastAsia="Arial" w:hAnsi="Arial"/>
                <w:sz w:val="11"/>
                <w:szCs w:val="11"/>
                <w:i w:val="1"/>
                <w:iCs w:val="1"/>
                <w:color w:val="auto"/>
              </w:rPr>
              <w:t>Medicare-Internal</w:t>
            </w:r>
          </w:p>
        </w:tc>
        <w:tc>
          <w:tcPr>
            <w:tcW w:w="80" w:type="dxa"/>
            <w:vAlign w:val="bottom"/>
            <w:shd w:val="clear" w:color="auto" w:fill="929292"/>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MA</w:t>
            </w:r>
          </w:p>
        </w:tc>
        <w:tc>
          <w:tcPr>
            <w:tcW w:w="8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93,585</w:t>
            </w:r>
          </w:p>
        </w:tc>
        <w:tc>
          <w:tcPr>
            <w:tcW w:w="1520" w:type="dxa"/>
            <w:vAlign w:val="bottom"/>
          </w:tcPr>
          <w:p>
            <w:pPr>
              <w:jc w:val="right"/>
              <w:ind w:right="283"/>
              <w:spacing w:after="0"/>
              <w:rPr>
                <w:sz w:val="20"/>
                <w:szCs w:val="20"/>
                <w:color w:val="auto"/>
              </w:rPr>
            </w:pPr>
            <w:r>
              <w:rPr>
                <w:rFonts w:ascii="Arial" w:cs="Arial" w:eastAsia="Arial" w:hAnsi="Arial"/>
                <w:sz w:val="11"/>
                <w:szCs w:val="11"/>
                <w:color w:val="auto"/>
              </w:rPr>
              <w:t>121,299</w:t>
            </w:r>
          </w:p>
        </w:tc>
        <w:tc>
          <w:tcPr>
            <w:tcW w:w="1520" w:type="dxa"/>
            <w:vAlign w:val="bottom"/>
          </w:tcPr>
          <w:p>
            <w:pPr>
              <w:jc w:val="right"/>
              <w:ind w:right="283"/>
              <w:spacing w:after="0"/>
              <w:rPr>
                <w:sz w:val="20"/>
                <w:szCs w:val="20"/>
                <w:color w:val="auto"/>
              </w:rPr>
            </w:pPr>
            <w:r>
              <w:rPr>
                <w:rFonts w:ascii="Arial" w:cs="Arial" w:eastAsia="Arial" w:hAnsi="Arial"/>
                <w:sz w:val="11"/>
                <w:szCs w:val="11"/>
                <w:color w:val="auto"/>
              </w:rPr>
              <w:t>282,513</w:t>
            </w:r>
          </w:p>
        </w:tc>
        <w:tc>
          <w:tcPr>
            <w:tcW w:w="1180" w:type="dxa"/>
            <w:vAlign w:val="bottom"/>
          </w:tcPr>
          <w:p>
            <w:pPr>
              <w:jc w:val="right"/>
              <w:spacing w:after="0"/>
              <w:rPr>
                <w:sz w:val="20"/>
                <w:szCs w:val="20"/>
                <w:color w:val="auto"/>
              </w:rPr>
            </w:pPr>
            <w:r>
              <w:rPr>
                <w:rFonts w:ascii="Arial" w:cs="Arial" w:eastAsia="Arial" w:hAnsi="Arial"/>
                <w:sz w:val="11"/>
                <w:szCs w:val="11"/>
                <w:color w:val="auto"/>
              </w:rPr>
              <w:t>250,185</w:t>
            </w: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MS</w:t>
            </w:r>
          </w:p>
        </w:tc>
        <w:tc>
          <w:tcPr>
            <w:tcW w:w="8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64</w:t>
            </w:r>
          </w:p>
        </w:tc>
        <w:tc>
          <w:tcPr>
            <w:tcW w:w="1520" w:type="dxa"/>
            <w:vAlign w:val="bottom"/>
          </w:tcPr>
          <w:p>
            <w:pPr>
              <w:jc w:val="right"/>
              <w:ind w:right="283"/>
              <w:spacing w:after="0"/>
              <w:rPr>
                <w:sz w:val="20"/>
                <w:szCs w:val="20"/>
                <w:color w:val="auto"/>
              </w:rPr>
            </w:pPr>
            <w:r>
              <w:rPr>
                <w:rFonts w:ascii="Arial" w:cs="Arial" w:eastAsia="Arial" w:hAnsi="Arial"/>
                <w:sz w:val="11"/>
                <w:szCs w:val="11"/>
                <w:color w:val="auto"/>
              </w:rPr>
              <w:t>268</w:t>
            </w:r>
          </w:p>
        </w:tc>
        <w:tc>
          <w:tcPr>
            <w:tcW w:w="1520" w:type="dxa"/>
            <w:vAlign w:val="bottom"/>
          </w:tcPr>
          <w:p>
            <w:pPr>
              <w:jc w:val="right"/>
              <w:ind w:right="283"/>
              <w:spacing w:after="0"/>
              <w:rPr>
                <w:sz w:val="20"/>
                <w:szCs w:val="20"/>
                <w:color w:val="auto"/>
              </w:rPr>
            </w:pPr>
            <w:r>
              <w:rPr>
                <w:rFonts w:ascii="Arial" w:cs="Arial" w:eastAsia="Arial" w:hAnsi="Arial"/>
                <w:sz w:val="11"/>
                <w:szCs w:val="11"/>
                <w:color w:val="auto"/>
              </w:rPr>
              <w:t>218</w:t>
            </w:r>
          </w:p>
        </w:tc>
        <w:tc>
          <w:tcPr>
            <w:tcW w:w="1180" w:type="dxa"/>
            <w:vAlign w:val="bottom"/>
          </w:tcPr>
          <w:p>
            <w:pPr>
              <w:jc w:val="right"/>
              <w:spacing w:after="0"/>
              <w:rPr>
                <w:sz w:val="20"/>
                <w:szCs w:val="20"/>
                <w:color w:val="auto"/>
              </w:rPr>
            </w:pPr>
            <w:r>
              <w:rPr>
                <w:rFonts w:ascii="Arial" w:cs="Arial" w:eastAsia="Arial" w:hAnsi="Arial"/>
                <w:sz w:val="11"/>
                <w:szCs w:val="11"/>
                <w:color w:val="auto"/>
              </w:rPr>
              <w:t>519</w:t>
            </w: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PDP</w:t>
            </w:r>
          </w:p>
        </w:tc>
        <w:tc>
          <w:tcPr>
            <w:tcW w:w="8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1,874</w:t>
            </w:r>
          </w:p>
        </w:tc>
        <w:tc>
          <w:tcPr>
            <w:tcW w:w="152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2,033</w:t>
            </w:r>
          </w:p>
        </w:tc>
        <w:tc>
          <w:tcPr>
            <w:tcW w:w="152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4,873</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4,317</w:t>
            </w:r>
          </w:p>
        </w:tc>
      </w:tr>
      <w:tr>
        <w:trPr>
          <w:trHeight w:val="156"/>
        </w:trPr>
        <w:tc>
          <w:tcPr>
            <w:tcW w:w="5220" w:type="dxa"/>
            <w:vAlign w:val="bottom"/>
          </w:tcPr>
          <w:p>
            <w:pPr>
              <w:ind w:left="20"/>
              <w:spacing w:after="0"/>
              <w:rPr>
                <w:sz w:val="20"/>
                <w:szCs w:val="20"/>
                <w:color w:val="auto"/>
              </w:rPr>
            </w:pPr>
            <w:r>
              <w:rPr>
                <w:rFonts w:ascii="Arial" w:cs="Arial" w:eastAsia="Arial" w:hAnsi="Arial"/>
                <w:sz w:val="11"/>
                <w:szCs w:val="11"/>
                <w:b w:val="1"/>
                <w:bCs w:val="1"/>
                <w:color w:val="auto"/>
              </w:rPr>
              <w:t>Medicare-Internal commissionable Approved Submissions</w:t>
            </w:r>
          </w:p>
        </w:tc>
        <w:tc>
          <w:tcPr>
            <w:tcW w:w="8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95,523</w:t>
            </w:r>
          </w:p>
        </w:tc>
        <w:tc>
          <w:tcPr>
            <w:tcW w:w="152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123,600</w:t>
            </w:r>
          </w:p>
        </w:tc>
        <w:tc>
          <w:tcPr>
            <w:tcW w:w="152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287,604</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255,021</w:t>
            </w:r>
          </w:p>
        </w:tc>
      </w:tr>
      <w:tr>
        <w:trPr>
          <w:trHeight w:val="133"/>
        </w:trPr>
        <w:tc>
          <w:tcPr>
            <w:tcW w:w="5220" w:type="dxa"/>
            <w:vAlign w:val="bottom"/>
          </w:tcPr>
          <w:p>
            <w:pPr>
              <w:ind w:left="20"/>
              <w:spacing w:after="0"/>
              <w:rPr>
                <w:sz w:val="20"/>
                <w:szCs w:val="20"/>
                <w:color w:val="auto"/>
              </w:rPr>
            </w:pPr>
            <w:r>
              <w:rPr>
                <w:rFonts w:ascii="Arial" w:cs="Arial" w:eastAsia="Arial" w:hAnsi="Arial"/>
                <w:sz w:val="11"/>
                <w:szCs w:val="11"/>
                <w:i w:val="1"/>
                <w:iCs w:val="1"/>
                <w:color w:val="auto"/>
              </w:rPr>
              <w:t>Medicare-External</w:t>
            </w:r>
          </w:p>
        </w:tc>
        <w:tc>
          <w:tcPr>
            <w:tcW w:w="80" w:type="dxa"/>
            <w:vAlign w:val="bottom"/>
            <w:shd w:val="clear" w:color="auto" w:fill="929292"/>
          </w:tcPr>
          <w:p>
            <w:pPr>
              <w:spacing w:after="0"/>
              <w:rPr>
                <w:sz w:val="11"/>
                <w:szCs w:val="11"/>
                <w:color w:val="auto"/>
              </w:rPr>
            </w:pPr>
          </w:p>
        </w:tc>
        <w:tc>
          <w:tcPr>
            <w:tcW w:w="1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MA</w:t>
            </w:r>
          </w:p>
        </w:tc>
        <w:tc>
          <w:tcPr>
            <w:tcW w:w="8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67,495</w:t>
            </w:r>
          </w:p>
        </w:tc>
        <w:tc>
          <w:tcPr>
            <w:tcW w:w="1520" w:type="dxa"/>
            <w:vAlign w:val="bottom"/>
          </w:tcPr>
          <w:p>
            <w:pPr>
              <w:jc w:val="right"/>
              <w:ind w:right="283"/>
              <w:spacing w:after="0"/>
              <w:rPr>
                <w:sz w:val="20"/>
                <w:szCs w:val="20"/>
                <w:color w:val="auto"/>
              </w:rPr>
            </w:pPr>
            <w:r>
              <w:rPr>
                <w:rFonts w:ascii="Arial" w:cs="Arial" w:eastAsia="Arial" w:hAnsi="Arial"/>
                <w:sz w:val="11"/>
                <w:szCs w:val="11"/>
                <w:color w:val="auto"/>
              </w:rPr>
              <w:t>31,450</w:t>
            </w:r>
          </w:p>
        </w:tc>
        <w:tc>
          <w:tcPr>
            <w:tcW w:w="1520" w:type="dxa"/>
            <w:vAlign w:val="bottom"/>
          </w:tcPr>
          <w:p>
            <w:pPr>
              <w:jc w:val="right"/>
              <w:ind w:right="283"/>
              <w:spacing w:after="0"/>
              <w:rPr>
                <w:sz w:val="20"/>
                <w:szCs w:val="20"/>
                <w:color w:val="auto"/>
              </w:rPr>
            </w:pPr>
            <w:r>
              <w:rPr>
                <w:rFonts w:ascii="Arial" w:cs="Arial" w:eastAsia="Arial" w:hAnsi="Arial"/>
                <w:sz w:val="11"/>
                <w:szCs w:val="11"/>
                <w:color w:val="auto"/>
              </w:rPr>
              <w:t>155,443</w:t>
            </w:r>
          </w:p>
        </w:tc>
        <w:tc>
          <w:tcPr>
            <w:tcW w:w="1180" w:type="dxa"/>
            <w:vAlign w:val="bottom"/>
          </w:tcPr>
          <w:p>
            <w:pPr>
              <w:jc w:val="right"/>
              <w:spacing w:after="0"/>
              <w:rPr>
                <w:sz w:val="20"/>
                <w:szCs w:val="20"/>
                <w:color w:val="auto"/>
              </w:rPr>
            </w:pPr>
            <w:r>
              <w:rPr>
                <w:rFonts w:ascii="Arial" w:cs="Arial" w:eastAsia="Arial" w:hAnsi="Arial"/>
                <w:sz w:val="11"/>
                <w:szCs w:val="11"/>
                <w:color w:val="auto"/>
              </w:rPr>
              <w:t>73,691</w:t>
            </w: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MS</w:t>
            </w:r>
          </w:p>
        </w:tc>
        <w:tc>
          <w:tcPr>
            <w:tcW w:w="8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49</w:t>
            </w:r>
          </w:p>
        </w:tc>
        <w:tc>
          <w:tcPr>
            <w:tcW w:w="1520" w:type="dxa"/>
            <w:vAlign w:val="bottom"/>
          </w:tcPr>
          <w:p>
            <w:pPr>
              <w:jc w:val="right"/>
              <w:ind w:right="283"/>
              <w:spacing w:after="0"/>
              <w:rPr>
                <w:sz w:val="20"/>
                <w:szCs w:val="20"/>
                <w:color w:val="auto"/>
              </w:rPr>
            </w:pPr>
            <w:r>
              <w:rPr>
                <w:rFonts w:ascii="Arial" w:cs="Arial" w:eastAsia="Arial" w:hAnsi="Arial"/>
                <w:sz w:val="11"/>
                <w:szCs w:val="11"/>
                <w:color w:val="auto"/>
              </w:rPr>
              <w:t>665</w:t>
            </w:r>
          </w:p>
        </w:tc>
        <w:tc>
          <w:tcPr>
            <w:tcW w:w="1520" w:type="dxa"/>
            <w:vAlign w:val="bottom"/>
          </w:tcPr>
          <w:p>
            <w:pPr>
              <w:jc w:val="right"/>
              <w:ind w:right="283"/>
              <w:spacing w:after="0"/>
              <w:rPr>
                <w:sz w:val="20"/>
                <w:szCs w:val="20"/>
                <w:color w:val="auto"/>
              </w:rPr>
            </w:pPr>
            <w:r>
              <w:rPr>
                <w:rFonts w:ascii="Arial" w:cs="Arial" w:eastAsia="Arial" w:hAnsi="Arial"/>
                <w:sz w:val="11"/>
                <w:szCs w:val="11"/>
                <w:color w:val="auto"/>
              </w:rPr>
              <w:t>265</w:t>
            </w:r>
          </w:p>
        </w:tc>
        <w:tc>
          <w:tcPr>
            <w:tcW w:w="1180" w:type="dxa"/>
            <w:vAlign w:val="bottom"/>
          </w:tcPr>
          <w:p>
            <w:pPr>
              <w:jc w:val="right"/>
              <w:spacing w:after="0"/>
              <w:rPr>
                <w:sz w:val="20"/>
                <w:szCs w:val="20"/>
                <w:color w:val="auto"/>
              </w:rPr>
            </w:pPr>
            <w:r>
              <w:rPr>
                <w:rFonts w:ascii="Arial" w:cs="Arial" w:eastAsia="Arial" w:hAnsi="Arial"/>
                <w:sz w:val="11"/>
                <w:szCs w:val="11"/>
                <w:color w:val="auto"/>
              </w:rPr>
              <w:t>1,396</w:t>
            </w: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PDP</w:t>
            </w:r>
          </w:p>
        </w:tc>
        <w:tc>
          <w:tcPr>
            <w:tcW w:w="8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2,939</w:t>
            </w:r>
          </w:p>
        </w:tc>
        <w:tc>
          <w:tcPr>
            <w:tcW w:w="152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236</w:t>
            </w:r>
          </w:p>
        </w:tc>
        <w:tc>
          <w:tcPr>
            <w:tcW w:w="152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6,113</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525</w:t>
            </w:r>
          </w:p>
        </w:tc>
      </w:tr>
      <w:tr>
        <w:trPr>
          <w:trHeight w:val="156"/>
        </w:trPr>
        <w:tc>
          <w:tcPr>
            <w:tcW w:w="5220" w:type="dxa"/>
            <w:vAlign w:val="bottom"/>
          </w:tcPr>
          <w:p>
            <w:pPr>
              <w:ind w:left="20"/>
              <w:spacing w:after="0"/>
              <w:rPr>
                <w:sz w:val="20"/>
                <w:szCs w:val="20"/>
                <w:color w:val="auto"/>
              </w:rPr>
            </w:pPr>
            <w:r>
              <w:rPr>
                <w:rFonts w:ascii="Arial" w:cs="Arial" w:eastAsia="Arial" w:hAnsi="Arial"/>
                <w:sz w:val="11"/>
                <w:szCs w:val="11"/>
                <w:b w:val="1"/>
                <w:bCs w:val="1"/>
                <w:color w:val="auto"/>
              </w:rPr>
              <w:t>Medicare-External commissionable Approved Submissions</w:t>
            </w:r>
          </w:p>
        </w:tc>
        <w:tc>
          <w:tcPr>
            <w:tcW w:w="8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70,483</w:t>
            </w:r>
          </w:p>
        </w:tc>
        <w:tc>
          <w:tcPr>
            <w:tcW w:w="152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32,351</w:t>
            </w:r>
          </w:p>
        </w:tc>
        <w:tc>
          <w:tcPr>
            <w:tcW w:w="152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161,821</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75,612</w:t>
            </w:r>
          </w:p>
        </w:tc>
      </w:tr>
      <w:tr>
        <w:trPr>
          <w:trHeight w:val="133"/>
        </w:trPr>
        <w:tc>
          <w:tcPr>
            <w:tcW w:w="5220" w:type="dxa"/>
            <w:vAlign w:val="bottom"/>
          </w:tcPr>
          <w:p>
            <w:pPr>
              <w:ind w:left="20"/>
              <w:spacing w:after="0"/>
              <w:rPr>
                <w:sz w:val="20"/>
                <w:szCs w:val="20"/>
                <w:color w:val="auto"/>
              </w:rPr>
            </w:pPr>
            <w:r>
              <w:rPr>
                <w:rFonts w:ascii="Arial" w:cs="Arial" w:eastAsia="Arial" w:hAnsi="Arial"/>
                <w:sz w:val="11"/>
                <w:szCs w:val="11"/>
                <w:i w:val="1"/>
                <w:iCs w:val="1"/>
                <w:color w:val="auto"/>
              </w:rPr>
              <w:t>Total commissionable Approved Submissions</w:t>
            </w:r>
          </w:p>
        </w:tc>
        <w:tc>
          <w:tcPr>
            <w:tcW w:w="80" w:type="dxa"/>
            <w:vAlign w:val="bottom"/>
            <w:shd w:val="clear" w:color="auto" w:fill="929292"/>
          </w:tcPr>
          <w:p>
            <w:pPr>
              <w:spacing w:after="0"/>
              <w:rPr>
                <w:sz w:val="11"/>
                <w:szCs w:val="11"/>
                <w:color w:val="auto"/>
              </w:rPr>
            </w:pPr>
          </w:p>
        </w:tc>
        <w:tc>
          <w:tcPr>
            <w:tcW w:w="1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MA</w:t>
            </w:r>
          </w:p>
        </w:tc>
        <w:tc>
          <w:tcPr>
            <w:tcW w:w="8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161,080</w:t>
            </w:r>
          </w:p>
        </w:tc>
        <w:tc>
          <w:tcPr>
            <w:tcW w:w="1520" w:type="dxa"/>
            <w:vAlign w:val="bottom"/>
          </w:tcPr>
          <w:p>
            <w:pPr>
              <w:jc w:val="right"/>
              <w:ind w:right="283"/>
              <w:spacing w:after="0"/>
              <w:rPr>
                <w:sz w:val="20"/>
                <w:szCs w:val="20"/>
                <w:color w:val="auto"/>
              </w:rPr>
            </w:pPr>
            <w:r>
              <w:rPr>
                <w:rFonts w:ascii="Arial" w:cs="Arial" w:eastAsia="Arial" w:hAnsi="Arial"/>
                <w:sz w:val="11"/>
                <w:szCs w:val="11"/>
                <w:color w:val="auto"/>
              </w:rPr>
              <w:t>152,749</w:t>
            </w:r>
          </w:p>
        </w:tc>
        <w:tc>
          <w:tcPr>
            <w:tcW w:w="1520" w:type="dxa"/>
            <w:vAlign w:val="bottom"/>
          </w:tcPr>
          <w:p>
            <w:pPr>
              <w:jc w:val="right"/>
              <w:ind w:right="283"/>
              <w:spacing w:after="0"/>
              <w:rPr>
                <w:sz w:val="20"/>
                <w:szCs w:val="20"/>
                <w:color w:val="auto"/>
              </w:rPr>
            </w:pPr>
            <w:r>
              <w:rPr>
                <w:rFonts w:ascii="Arial" w:cs="Arial" w:eastAsia="Arial" w:hAnsi="Arial"/>
                <w:sz w:val="11"/>
                <w:szCs w:val="11"/>
                <w:color w:val="auto"/>
              </w:rPr>
              <w:t>437,956</w:t>
            </w:r>
          </w:p>
        </w:tc>
        <w:tc>
          <w:tcPr>
            <w:tcW w:w="1180" w:type="dxa"/>
            <w:vAlign w:val="bottom"/>
          </w:tcPr>
          <w:p>
            <w:pPr>
              <w:jc w:val="right"/>
              <w:spacing w:after="0"/>
              <w:rPr>
                <w:sz w:val="20"/>
                <w:szCs w:val="20"/>
                <w:color w:val="auto"/>
              </w:rPr>
            </w:pPr>
            <w:r>
              <w:rPr>
                <w:rFonts w:ascii="Arial" w:cs="Arial" w:eastAsia="Arial" w:hAnsi="Arial"/>
                <w:sz w:val="11"/>
                <w:szCs w:val="11"/>
                <w:color w:val="auto"/>
              </w:rPr>
              <w:t>323,876</w:t>
            </w:r>
          </w:p>
        </w:tc>
      </w:tr>
      <w:tr>
        <w:trPr>
          <w:trHeight w:val="159"/>
        </w:trPr>
        <w:tc>
          <w:tcPr>
            <w:tcW w:w="5220" w:type="dxa"/>
            <w:vAlign w:val="bottom"/>
          </w:tcPr>
          <w:p>
            <w:pPr>
              <w:ind w:left="100"/>
              <w:spacing w:after="0"/>
              <w:rPr>
                <w:sz w:val="20"/>
                <w:szCs w:val="20"/>
                <w:color w:val="auto"/>
              </w:rPr>
            </w:pPr>
            <w:r>
              <w:rPr>
                <w:rFonts w:ascii="Arial" w:cs="Arial" w:eastAsia="Arial" w:hAnsi="Arial"/>
                <w:sz w:val="11"/>
                <w:szCs w:val="11"/>
                <w:color w:val="auto"/>
              </w:rPr>
              <w:t>MS</w:t>
            </w:r>
          </w:p>
        </w:tc>
        <w:tc>
          <w:tcPr>
            <w:tcW w:w="8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113</w:t>
            </w:r>
          </w:p>
        </w:tc>
        <w:tc>
          <w:tcPr>
            <w:tcW w:w="1520" w:type="dxa"/>
            <w:vAlign w:val="bottom"/>
          </w:tcPr>
          <w:p>
            <w:pPr>
              <w:jc w:val="right"/>
              <w:ind w:right="283"/>
              <w:spacing w:after="0"/>
              <w:rPr>
                <w:sz w:val="20"/>
                <w:szCs w:val="20"/>
                <w:color w:val="auto"/>
              </w:rPr>
            </w:pPr>
            <w:r>
              <w:rPr>
                <w:rFonts w:ascii="Arial" w:cs="Arial" w:eastAsia="Arial" w:hAnsi="Arial"/>
                <w:sz w:val="11"/>
                <w:szCs w:val="11"/>
                <w:color w:val="auto"/>
              </w:rPr>
              <w:t>933</w:t>
            </w:r>
          </w:p>
        </w:tc>
        <w:tc>
          <w:tcPr>
            <w:tcW w:w="1520" w:type="dxa"/>
            <w:vAlign w:val="bottom"/>
          </w:tcPr>
          <w:p>
            <w:pPr>
              <w:jc w:val="right"/>
              <w:ind w:right="283"/>
              <w:spacing w:after="0"/>
              <w:rPr>
                <w:sz w:val="20"/>
                <w:szCs w:val="20"/>
                <w:color w:val="auto"/>
              </w:rPr>
            </w:pPr>
            <w:r>
              <w:rPr>
                <w:rFonts w:ascii="Arial" w:cs="Arial" w:eastAsia="Arial" w:hAnsi="Arial"/>
                <w:sz w:val="11"/>
                <w:szCs w:val="11"/>
                <w:color w:val="auto"/>
              </w:rPr>
              <w:t>483</w:t>
            </w:r>
          </w:p>
        </w:tc>
        <w:tc>
          <w:tcPr>
            <w:tcW w:w="1180" w:type="dxa"/>
            <w:vAlign w:val="bottom"/>
          </w:tcPr>
          <w:p>
            <w:pPr>
              <w:jc w:val="right"/>
              <w:spacing w:after="0"/>
              <w:rPr>
                <w:sz w:val="20"/>
                <w:szCs w:val="20"/>
                <w:color w:val="auto"/>
              </w:rPr>
            </w:pPr>
            <w:r>
              <w:rPr>
                <w:rFonts w:ascii="Arial" w:cs="Arial" w:eastAsia="Arial" w:hAnsi="Arial"/>
                <w:sz w:val="11"/>
                <w:szCs w:val="11"/>
                <w:color w:val="auto"/>
              </w:rPr>
              <w:t>1,915</w:t>
            </w:r>
          </w:p>
        </w:tc>
      </w:tr>
      <w:tr>
        <w:trPr>
          <w:trHeight w:val="162"/>
        </w:trPr>
        <w:tc>
          <w:tcPr>
            <w:tcW w:w="5220" w:type="dxa"/>
            <w:vAlign w:val="bottom"/>
          </w:tcPr>
          <w:p>
            <w:pPr>
              <w:ind w:left="100"/>
              <w:spacing w:after="0"/>
              <w:rPr>
                <w:sz w:val="20"/>
                <w:szCs w:val="20"/>
                <w:color w:val="auto"/>
              </w:rPr>
            </w:pPr>
            <w:r>
              <w:rPr>
                <w:rFonts w:ascii="Arial" w:cs="Arial" w:eastAsia="Arial" w:hAnsi="Arial"/>
                <w:sz w:val="11"/>
                <w:szCs w:val="11"/>
                <w:color w:val="auto"/>
              </w:rPr>
              <w:t>PDP</w:t>
            </w:r>
          </w:p>
        </w:tc>
        <w:tc>
          <w:tcPr>
            <w:tcW w:w="80" w:type="dxa"/>
            <w:vAlign w:val="bottom"/>
            <w:tcBorders>
              <w:bottom w:val="single" w:sz="8" w:color="929292"/>
            </w:tcBorders>
            <w:shd w:val="clear" w:color="auto" w:fill="929292"/>
          </w:tcPr>
          <w:p>
            <w:pPr>
              <w:spacing w:after="0"/>
              <w:rPr>
                <w:sz w:val="14"/>
                <w:szCs w:val="14"/>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4,813</w:t>
            </w:r>
          </w:p>
        </w:tc>
        <w:tc>
          <w:tcPr>
            <w:tcW w:w="152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2,269</w:t>
            </w:r>
          </w:p>
        </w:tc>
        <w:tc>
          <w:tcPr>
            <w:tcW w:w="152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10,986</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4,842</w:t>
            </w:r>
          </w:p>
        </w:tc>
      </w:tr>
      <w:tr>
        <w:trPr>
          <w:trHeight w:val="173"/>
        </w:trPr>
        <w:tc>
          <w:tcPr>
            <w:tcW w:w="5220" w:type="dxa"/>
            <w:vAlign w:val="bottom"/>
          </w:tcPr>
          <w:p>
            <w:pPr>
              <w:ind w:left="20"/>
              <w:spacing w:after="0"/>
              <w:rPr>
                <w:sz w:val="20"/>
                <w:szCs w:val="20"/>
                <w:color w:val="auto"/>
              </w:rPr>
            </w:pPr>
            <w:r>
              <w:rPr>
                <w:rFonts w:ascii="Arial" w:cs="Arial" w:eastAsia="Arial" w:hAnsi="Arial"/>
                <w:sz w:val="11"/>
                <w:szCs w:val="11"/>
                <w:b w:val="1"/>
                <w:bCs w:val="1"/>
                <w:color w:val="auto"/>
              </w:rPr>
              <w:t>Total Medicare commissionable Approved Submissions</w:t>
            </w:r>
          </w:p>
        </w:tc>
        <w:tc>
          <w:tcPr>
            <w:tcW w:w="80" w:type="dxa"/>
            <w:vAlign w:val="bottom"/>
            <w:tcBorders>
              <w:bottom w:val="single" w:sz="8" w:color="929292"/>
            </w:tcBorders>
            <w:shd w:val="clear" w:color="auto" w:fill="929292"/>
          </w:tcPr>
          <w:p>
            <w:pPr>
              <w:spacing w:after="0"/>
              <w:rPr>
                <w:sz w:val="15"/>
                <w:szCs w:val="15"/>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166,006</w:t>
            </w:r>
          </w:p>
        </w:tc>
        <w:tc>
          <w:tcPr>
            <w:tcW w:w="152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155,951</w:t>
            </w:r>
          </w:p>
        </w:tc>
        <w:tc>
          <w:tcPr>
            <w:tcW w:w="152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449,425</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330,633</w:t>
            </w:r>
          </w:p>
        </w:tc>
      </w:tr>
      <w:tr>
        <w:trPr>
          <w:trHeight w:val="20"/>
        </w:trPr>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929292"/>
            </w:tcBorders>
          </w:tcPr>
          <w:p>
            <w:pPr>
              <w:spacing w:after="0" w:line="20" w:lineRule="exact"/>
              <w:rPr>
                <w:sz w:val="1"/>
                <w:szCs w:val="1"/>
                <w:color w:val="auto"/>
              </w:rPr>
            </w:pPr>
          </w:p>
        </w:tc>
        <w:tc>
          <w:tcPr>
            <w:tcW w:w="1520" w:type="dxa"/>
            <w:vAlign w:val="bottom"/>
            <w:tcBorders>
              <w:bottom w:val="single" w:sz="8" w:color="929292"/>
            </w:tcBorders>
          </w:tcPr>
          <w:p>
            <w:pPr>
              <w:spacing w:after="0" w:line="20" w:lineRule="exact"/>
              <w:rPr>
                <w:sz w:val="1"/>
                <w:szCs w:val="1"/>
                <w:color w:val="auto"/>
              </w:rPr>
            </w:pPr>
          </w:p>
        </w:tc>
        <w:tc>
          <w:tcPr>
            <w:tcW w:w="152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r>
    </w:tbl>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The decrease in Medicare—Internal commissionable Approved Submissions for the three months ended June 30, 2022 was attributable to a decrease in opportunities resulting from our strategic focus on cash flow optimization, which was driven by a 19.8% decline in marketing and advertising expense.. The increase in Medicare—Internal commissionable Approved Submissions for the six months ended June 30, 2022 was attributable to an increase in agent headcount, driven by the hiring, onboarding, and training of additional agents throughout 2021, particularly in the second and third quarters as we prepared for AEP, resulting in a larger agent base heading into 2022.</w:t>
      </w:r>
    </w:p>
    <w:p>
      <w:pPr>
        <w:spacing w:after="0" w:line="14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increases in Medicare—External commissionable Approved Submissions for the three and six months ended June 30, 2022 were attributable to our ability to recruit and onboard additional external agents to enroll consumers in Medicare plans.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LTV Per Approved Submission</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Medicare Segments</w:t>
      </w:r>
    </w:p>
    <w:p>
      <w:pPr>
        <w:spacing w:after="0" w:line="167" w:lineRule="exact"/>
        <w:rPr>
          <w:sz w:val="20"/>
          <w:szCs w:val="20"/>
          <w:color w:val="auto"/>
        </w:rPr>
      </w:pPr>
    </w:p>
    <w:p>
      <w:pPr>
        <w:ind w:right="40"/>
        <w:spacing w:after="0" w:line="273" w:lineRule="auto"/>
        <w:rPr>
          <w:sz w:val="20"/>
          <w:szCs w:val="20"/>
          <w:color w:val="auto"/>
        </w:rPr>
      </w:pPr>
      <w:r>
        <w:rPr>
          <w:rFonts w:ascii="Arial" w:cs="Arial" w:eastAsia="Arial" w:hAnsi="Arial"/>
          <w:sz w:val="12"/>
          <w:szCs w:val="12"/>
          <w:color w:val="auto"/>
        </w:rPr>
        <w:t>Lifetime value of commissions per commissionable Approved Submission, or LTV per Approved Submission,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 LTV per Approved Submission is equal to the sum of the commission revenue due upon the initial sale of a policy, and when applicable, an estimate of future renewal commissions per commissionable Approved Submissions. The estimate of the future renewal commissions is determined by using the contracted renewal commission rates constrained by a persistency-adjusted renewal period. The persistency-adjusted renewal period is determined based on our historical experience and available industry and carrier historical data. Persistency-adjustments allow us to estimate renewal revenue only to the extent probable that a material reversal in revenue would not be expected to occur. These factors may result in varying values from period to period. LTV per Approved Submission represents commissions only from policies sold during the period, but excludes policies originally submitted in prior periods.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LTV per Approved Submission by product for the Medicare segments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20" w:type="dxa"/>
            <w:vAlign w:val="bottom"/>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540" w:type="dxa"/>
            <w:vAlign w:val="bottom"/>
            <w:gridSpan w:val="3"/>
          </w:tcPr>
          <w:p>
            <w:pPr>
              <w:jc w:val="right"/>
              <w:ind w:right="263"/>
              <w:spacing w:after="0"/>
              <w:rPr>
                <w:sz w:val="20"/>
                <w:szCs w:val="20"/>
                <w:color w:val="auto"/>
              </w:rPr>
            </w:pPr>
            <w:r>
              <w:rPr>
                <w:rFonts w:ascii="Arial" w:cs="Arial" w:eastAsia="Arial" w:hAnsi="Arial"/>
                <w:sz w:val="11"/>
                <w:szCs w:val="11"/>
                <w:color w:val="auto"/>
              </w:rPr>
              <w:t>Three months ended Jun. 30,</w:t>
            </w:r>
          </w:p>
        </w:tc>
        <w:tc>
          <w:tcPr>
            <w:tcW w:w="440" w:type="dxa"/>
            <w:vAlign w:val="bottom"/>
          </w:tcPr>
          <w:p>
            <w:pPr>
              <w:spacing w:after="0"/>
              <w:rPr>
                <w:sz w:val="14"/>
                <w:szCs w:val="14"/>
                <w:color w:val="auto"/>
              </w:rPr>
            </w:pPr>
          </w:p>
        </w:tc>
        <w:tc>
          <w:tcPr>
            <w:tcW w:w="2580" w:type="dxa"/>
            <w:vAlign w:val="bottom"/>
            <w:gridSpan w:val="3"/>
          </w:tcPr>
          <w:p>
            <w:pPr>
              <w:jc w:val="right"/>
              <w:ind w:right="323"/>
              <w:spacing w:after="0"/>
              <w:rPr>
                <w:sz w:val="20"/>
                <w:szCs w:val="20"/>
                <w:color w:val="auto"/>
              </w:rPr>
            </w:pPr>
            <w:r>
              <w:rPr>
                <w:rFonts w:ascii="Arial" w:cs="Arial" w:eastAsia="Arial" w:hAnsi="Arial"/>
                <w:sz w:val="11"/>
                <w:szCs w:val="11"/>
                <w:color w:val="auto"/>
              </w:rPr>
              <w:t>Six months ended Jun. 30,</w:t>
            </w:r>
          </w:p>
        </w:tc>
        <w:tc>
          <w:tcPr>
            <w:tcW w:w="420" w:type="dxa"/>
            <w:vAlign w:val="bottom"/>
          </w:tcPr>
          <w:p>
            <w:pPr>
              <w:spacing w:after="0"/>
              <w:rPr>
                <w:sz w:val="14"/>
                <w:szCs w:val="14"/>
                <w:color w:val="auto"/>
              </w:rPr>
            </w:pPr>
          </w:p>
        </w:tc>
      </w:tr>
      <w:tr>
        <w:trPr>
          <w:trHeight w:val="152"/>
        </w:trPr>
        <w:tc>
          <w:tcPr>
            <w:tcW w:w="522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LTV Per Approved Submission</w:t>
            </w:r>
          </w:p>
        </w:tc>
        <w:tc>
          <w:tcPr>
            <w:tcW w:w="80" w:type="dxa"/>
            <w:vAlign w:val="bottom"/>
            <w:tcBorders>
              <w:bottom w:val="single" w:sz="8" w:color="929292"/>
            </w:tcBorders>
            <w:shd w:val="clear" w:color="auto" w:fill="929292"/>
          </w:tcPr>
          <w:p>
            <w:pPr>
              <w:spacing w:after="0"/>
              <w:rPr>
                <w:sz w:val="13"/>
                <w:szCs w:val="13"/>
                <w:color w:val="auto"/>
              </w:rPr>
            </w:pPr>
          </w:p>
        </w:tc>
        <w:tc>
          <w:tcPr>
            <w:tcW w:w="102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color w:val="auto"/>
              </w:rPr>
              <w:t>2022</w:t>
            </w:r>
          </w:p>
        </w:tc>
        <w:tc>
          <w:tcPr>
            <w:tcW w:w="440" w:type="dxa"/>
            <w:vAlign w:val="bottom"/>
            <w:tcBorders>
              <w:bottom w:val="single" w:sz="8" w:color="929292"/>
            </w:tcBorders>
          </w:tcPr>
          <w:p>
            <w:pPr>
              <w:spacing w:after="0"/>
              <w:rPr>
                <w:sz w:val="13"/>
                <w:szCs w:val="13"/>
                <w:color w:val="auto"/>
              </w:rPr>
            </w:pPr>
          </w:p>
        </w:tc>
        <w:tc>
          <w:tcPr>
            <w:tcW w:w="108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color w:val="auto"/>
              </w:rPr>
              <w:t>2021</w:t>
            </w:r>
          </w:p>
        </w:tc>
        <w:tc>
          <w:tcPr>
            <w:tcW w:w="440" w:type="dxa"/>
            <w:vAlign w:val="bottom"/>
            <w:tcBorders>
              <w:bottom w:val="single" w:sz="8" w:color="929292"/>
            </w:tcBorders>
          </w:tcPr>
          <w:p>
            <w:pPr>
              <w:spacing w:after="0"/>
              <w:rPr>
                <w:sz w:val="13"/>
                <w:szCs w:val="13"/>
                <w:color w:val="auto"/>
              </w:rPr>
            </w:pPr>
          </w:p>
        </w:tc>
        <w:tc>
          <w:tcPr>
            <w:tcW w:w="108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color w:val="auto"/>
              </w:rPr>
              <w:t>2022</w:t>
            </w:r>
          </w:p>
        </w:tc>
        <w:tc>
          <w:tcPr>
            <w:tcW w:w="420" w:type="dxa"/>
            <w:vAlign w:val="bottom"/>
            <w:tcBorders>
              <w:bottom w:val="single" w:sz="8" w:color="929292"/>
            </w:tcBorders>
          </w:tcPr>
          <w:p>
            <w:pPr>
              <w:spacing w:after="0"/>
              <w:rPr>
                <w:sz w:val="13"/>
                <w:szCs w:val="13"/>
                <w:color w:val="auto"/>
              </w:rPr>
            </w:pPr>
          </w:p>
        </w:tc>
        <w:tc>
          <w:tcPr>
            <w:tcW w:w="108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2021</w:t>
            </w:r>
          </w:p>
        </w:tc>
        <w:tc>
          <w:tcPr>
            <w:tcW w:w="420" w:type="dxa"/>
            <w:vAlign w:val="bottom"/>
            <w:tcBorders>
              <w:bottom w:val="single" w:sz="8" w:color="929292"/>
            </w:tcBorders>
          </w:tcPr>
          <w:p>
            <w:pPr>
              <w:spacing w:after="0"/>
              <w:rPr>
                <w:sz w:val="13"/>
                <w:szCs w:val="13"/>
                <w:color w:val="auto"/>
              </w:rPr>
            </w:pPr>
          </w:p>
        </w:tc>
      </w:tr>
      <w:tr>
        <w:trPr>
          <w:trHeight w:val="147"/>
        </w:trPr>
        <w:tc>
          <w:tcPr>
            <w:tcW w:w="5220" w:type="dxa"/>
            <w:vAlign w:val="bottom"/>
          </w:tcPr>
          <w:p>
            <w:pPr>
              <w:ind w:left="20"/>
              <w:spacing w:after="0"/>
              <w:rPr>
                <w:sz w:val="20"/>
                <w:szCs w:val="20"/>
                <w:color w:val="auto"/>
              </w:rPr>
            </w:pPr>
            <w:r>
              <w:rPr>
                <w:rFonts w:ascii="Arial" w:cs="Arial" w:eastAsia="Arial" w:hAnsi="Arial"/>
                <w:sz w:val="11"/>
                <w:szCs w:val="11"/>
                <w:color w:val="auto"/>
              </w:rPr>
              <w:t>MA</w:t>
            </w:r>
          </w:p>
        </w:tc>
        <w:tc>
          <w:tcPr>
            <w:tcW w:w="80" w:type="dxa"/>
            <w:vAlign w:val="bottom"/>
            <w:shd w:val="clear" w:color="auto" w:fill="929292"/>
          </w:tcPr>
          <w:p>
            <w:pPr>
              <w:spacing w:after="0"/>
              <w:rPr>
                <w:sz w:val="12"/>
                <w:szCs w:val="12"/>
                <w:color w:val="auto"/>
              </w:rPr>
            </w:pPr>
          </w:p>
        </w:tc>
        <w:tc>
          <w:tcPr>
            <w:tcW w:w="1020" w:type="dxa"/>
            <w:vAlign w:val="bottom"/>
          </w:tcPr>
          <w:p>
            <w:pPr>
              <w:jc w:val="right"/>
              <w:ind w:right="883"/>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23"/>
              <w:spacing w:after="0"/>
              <w:rPr>
                <w:sz w:val="20"/>
                <w:szCs w:val="20"/>
                <w:color w:val="auto"/>
              </w:rPr>
            </w:pPr>
            <w:r>
              <w:rPr>
                <w:rFonts w:ascii="Arial" w:cs="Arial" w:eastAsia="Arial" w:hAnsi="Arial"/>
                <w:sz w:val="11"/>
                <w:szCs w:val="11"/>
                <w:color w:val="auto"/>
              </w:rPr>
              <w:t>739</w:t>
            </w:r>
          </w:p>
        </w:tc>
        <w:tc>
          <w:tcPr>
            <w:tcW w:w="1080" w:type="dxa"/>
            <w:vAlign w:val="bottom"/>
          </w:tcPr>
          <w:p>
            <w:pPr>
              <w:jc w:val="right"/>
              <w:ind w:right="883"/>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23"/>
              <w:spacing w:after="0"/>
              <w:rPr>
                <w:sz w:val="20"/>
                <w:szCs w:val="20"/>
                <w:color w:val="auto"/>
              </w:rPr>
            </w:pPr>
            <w:r>
              <w:rPr>
                <w:rFonts w:ascii="Arial" w:cs="Arial" w:eastAsia="Arial" w:hAnsi="Arial"/>
                <w:sz w:val="11"/>
                <w:szCs w:val="11"/>
                <w:color w:val="auto"/>
              </w:rPr>
              <w:t>850</w:t>
            </w:r>
          </w:p>
        </w:tc>
        <w:tc>
          <w:tcPr>
            <w:tcW w:w="1080" w:type="dxa"/>
            <w:vAlign w:val="bottom"/>
          </w:tcPr>
          <w:p>
            <w:pPr>
              <w:jc w:val="right"/>
              <w:ind w:right="883"/>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750</w:t>
            </w:r>
          </w:p>
        </w:tc>
        <w:tc>
          <w:tcPr>
            <w:tcW w:w="1080" w:type="dxa"/>
            <w:vAlign w:val="bottom"/>
          </w:tcPr>
          <w:p>
            <w:pPr>
              <w:jc w:val="right"/>
              <w:ind w:right="883"/>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853</w:t>
            </w:r>
          </w:p>
        </w:tc>
      </w:tr>
      <w:tr>
        <w:trPr>
          <w:trHeight w:val="159"/>
        </w:trPr>
        <w:tc>
          <w:tcPr>
            <w:tcW w:w="5220" w:type="dxa"/>
            <w:vAlign w:val="bottom"/>
          </w:tcPr>
          <w:p>
            <w:pPr>
              <w:ind w:left="20"/>
              <w:spacing w:after="0"/>
              <w:rPr>
                <w:sz w:val="20"/>
                <w:szCs w:val="20"/>
                <w:color w:val="auto"/>
              </w:rPr>
            </w:pPr>
            <w:r>
              <w:rPr>
                <w:rFonts w:ascii="Arial" w:cs="Arial" w:eastAsia="Arial" w:hAnsi="Arial"/>
                <w:sz w:val="11"/>
                <w:szCs w:val="11"/>
                <w:color w:val="auto"/>
              </w:rPr>
              <w:t>MS</w:t>
            </w:r>
          </w:p>
        </w:tc>
        <w:tc>
          <w:tcPr>
            <w:tcW w:w="80" w:type="dxa"/>
            <w:vAlign w:val="bottom"/>
            <w:shd w:val="clear" w:color="auto" w:fill="929292"/>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jc w:val="right"/>
              <w:ind w:right="23"/>
              <w:spacing w:after="0"/>
              <w:rPr>
                <w:sz w:val="20"/>
                <w:szCs w:val="20"/>
                <w:color w:val="auto"/>
              </w:rPr>
            </w:pPr>
            <w:r>
              <w:rPr>
                <w:rFonts w:ascii="Arial" w:cs="Arial" w:eastAsia="Arial" w:hAnsi="Arial"/>
                <w:sz w:val="11"/>
                <w:szCs w:val="11"/>
                <w:color w:val="auto"/>
              </w:rPr>
              <w:t>805</w:t>
            </w:r>
          </w:p>
        </w:tc>
        <w:tc>
          <w:tcPr>
            <w:tcW w:w="1080" w:type="dxa"/>
            <w:vAlign w:val="bottom"/>
          </w:tcPr>
          <w:p>
            <w:pPr>
              <w:spacing w:after="0"/>
              <w:rPr>
                <w:sz w:val="13"/>
                <w:szCs w:val="13"/>
                <w:color w:val="auto"/>
              </w:rPr>
            </w:pPr>
          </w:p>
        </w:tc>
        <w:tc>
          <w:tcPr>
            <w:tcW w:w="440" w:type="dxa"/>
            <w:vAlign w:val="bottom"/>
          </w:tcPr>
          <w:p>
            <w:pPr>
              <w:jc w:val="right"/>
              <w:ind w:right="23"/>
              <w:spacing w:after="0"/>
              <w:rPr>
                <w:sz w:val="20"/>
                <w:szCs w:val="20"/>
                <w:color w:val="auto"/>
              </w:rPr>
            </w:pPr>
            <w:r>
              <w:rPr>
                <w:rFonts w:ascii="Arial" w:cs="Arial" w:eastAsia="Arial" w:hAnsi="Arial"/>
                <w:sz w:val="11"/>
                <w:szCs w:val="11"/>
                <w:color w:val="auto"/>
              </w:rPr>
              <w:t>846</w:t>
            </w:r>
          </w:p>
        </w:tc>
        <w:tc>
          <w:tcPr>
            <w:tcW w:w="108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834</w:t>
            </w:r>
          </w:p>
        </w:tc>
        <w:tc>
          <w:tcPr>
            <w:tcW w:w="10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821</w:t>
            </w:r>
          </w:p>
        </w:tc>
      </w:tr>
      <w:tr>
        <w:trPr>
          <w:trHeight w:val="166"/>
        </w:trPr>
        <w:tc>
          <w:tcPr>
            <w:tcW w:w="5220" w:type="dxa"/>
            <w:vAlign w:val="bottom"/>
          </w:tcPr>
          <w:p>
            <w:pPr>
              <w:ind w:left="20"/>
              <w:spacing w:after="0"/>
              <w:rPr>
                <w:sz w:val="20"/>
                <w:szCs w:val="20"/>
                <w:color w:val="auto"/>
              </w:rPr>
            </w:pPr>
            <w:r>
              <w:rPr>
                <w:rFonts w:ascii="Arial" w:cs="Arial" w:eastAsia="Arial" w:hAnsi="Arial"/>
                <w:sz w:val="11"/>
                <w:szCs w:val="11"/>
                <w:color w:val="auto"/>
              </w:rPr>
              <w:t>PDP</w:t>
            </w:r>
          </w:p>
        </w:tc>
        <w:tc>
          <w:tcPr>
            <w:tcW w:w="80" w:type="dxa"/>
            <w:vAlign w:val="bottom"/>
            <w:shd w:val="clear" w:color="auto" w:fill="929292"/>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jc w:val="right"/>
              <w:ind w:right="23"/>
              <w:spacing w:after="0"/>
              <w:rPr>
                <w:sz w:val="20"/>
                <w:szCs w:val="20"/>
                <w:color w:val="auto"/>
              </w:rPr>
            </w:pPr>
            <w:r>
              <w:rPr>
                <w:rFonts w:ascii="Arial" w:cs="Arial" w:eastAsia="Arial" w:hAnsi="Arial"/>
                <w:sz w:val="11"/>
                <w:szCs w:val="11"/>
                <w:color w:val="auto"/>
              </w:rPr>
              <w:t>203</w:t>
            </w:r>
          </w:p>
        </w:tc>
        <w:tc>
          <w:tcPr>
            <w:tcW w:w="1080" w:type="dxa"/>
            <w:vAlign w:val="bottom"/>
          </w:tcPr>
          <w:p>
            <w:pPr>
              <w:spacing w:after="0"/>
              <w:rPr>
                <w:sz w:val="14"/>
                <w:szCs w:val="14"/>
                <w:color w:val="auto"/>
              </w:rPr>
            </w:pPr>
          </w:p>
        </w:tc>
        <w:tc>
          <w:tcPr>
            <w:tcW w:w="440" w:type="dxa"/>
            <w:vAlign w:val="bottom"/>
          </w:tcPr>
          <w:p>
            <w:pPr>
              <w:jc w:val="right"/>
              <w:ind w:right="23"/>
              <w:spacing w:after="0"/>
              <w:rPr>
                <w:sz w:val="20"/>
                <w:szCs w:val="20"/>
                <w:color w:val="auto"/>
              </w:rPr>
            </w:pPr>
            <w:r>
              <w:rPr>
                <w:rFonts w:ascii="Arial" w:cs="Arial" w:eastAsia="Arial" w:hAnsi="Arial"/>
                <w:sz w:val="11"/>
                <w:szCs w:val="11"/>
                <w:color w:val="auto"/>
              </w:rPr>
              <w:t>215</w:t>
            </w:r>
          </w:p>
        </w:tc>
        <w:tc>
          <w:tcPr>
            <w:tcW w:w="1080" w:type="dxa"/>
            <w:vAlign w:val="bottom"/>
          </w:tcPr>
          <w:p>
            <w:pPr>
              <w:spacing w:after="0"/>
              <w:rPr>
                <w:sz w:val="14"/>
                <w:szCs w:val="14"/>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203</w:t>
            </w: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215</w:t>
            </w:r>
          </w:p>
        </w:tc>
      </w:tr>
    </w:tbl>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decreases in LTV Per Approved Submission for Medicare Advantage for the three and six months ended June 30, 2022 were primarily attributable to an increase in consumer shopping, resulting in lower persistency and an increased constraint added to the LTV for the three and six months ended June 30, 2022.</w:t>
      </w:r>
    </w:p>
    <w:p>
      <w:pPr>
        <w:spacing w:after="0" w:line="125" w:lineRule="exact"/>
        <w:rPr>
          <w:sz w:val="20"/>
          <w:szCs w:val="20"/>
          <w:color w:val="auto"/>
        </w:rPr>
      </w:pPr>
    </w:p>
    <w:p>
      <w:pPr>
        <w:jc w:val="both"/>
        <w:ind w:right="20"/>
        <w:spacing w:after="0" w:line="266" w:lineRule="auto"/>
        <w:rPr>
          <w:sz w:val="20"/>
          <w:szCs w:val="20"/>
          <w:color w:val="auto"/>
        </w:rPr>
      </w:pPr>
      <w:r>
        <w:rPr>
          <w:rFonts w:ascii="Arial" w:cs="Arial" w:eastAsia="Arial" w:hAnsi="Arial"/>
          <w:sz w:val="13"/>
          <w:szCs w:val="13"/>
          <w:color w:val="auto"/>
        </w:rPr>
        <w:t>The changes in LTV Per Approved Submission for Medicare Supplement and prescription drug plans for the three and six months ended June 30, 2022 were primarily due to changes in carrier mix and an increased constraint added to the LTVs.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38" w:name="page39"/>
    <w:bookmarkEnd w:id="38"/>
    <w:p>
      <w:pPr>
        <w:ind w:left="20"/>
        <w:spacing w:after="0"/>
        <w:rPr>
          <w:sz w:val="20"/>
          <w:szCs w:val="20"/>
          <w:color w:val="auto"/>
        </w:rPr>
      </w:pPr>
      <w:r>
        <w:rPr>
          <w:rFonts w:ascii="Arial" w:cs="Arial" w:eastAsia="Arial" w:hAnsi="Arial"/>
          <w:sz w:val="13"/>
          <w:szCs w:val="13"/>
          <w:b w:val="1"/>
          <w:bCs w:val="1"/>
          <w:color w:val="00497F"/>
        </w:rPr>
        <w:t>LTV/CAC</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Medicare Segments</w:t>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Lifetime value of commissions per consumer acquisition cost, or LTV/CAC,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cost to convert a qualified prospect into a Submitted Policy (comprised of cost of revenue, marketing and advertising expenses and customer care and enrollment expenses) less other non-commission carrier revenue for such period, or CAC. CAC is comprised of cost of revenue, marketing and advertising expenses and customer care and enrollment expenses less enterprise revenue, excluding cost of revenue adjustments recorded in the period, but relating to performance obligations satisfied in prior periods, and is presented on a per commissionable Approved Submission basis. The estimate of the future renewal commissions is determined by using the contracted renewal commission rates constrained by a persistency-adjusted renewal period. The persistency-adjusted renewal period is determined based on our historical experience and available industry and insurance carrier historical data. Persistency-adjustments allow us to estimate renewal revenue only to the extent probable that a material reversal in revenue would not be expected to occur. These factors may result in varying values from period to period.</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our LTV/CACs as well as our CACs, for our Medicare—Internal segment for the three and six months ended June 30,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20" w:type="dxa"/>
            <w:vAlign w:val="bottom"/>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520" w:type="dxa"/>
            <w:vAlign w:val="bottom"/>
            <w:gridSpan w:val="3"/>
          </w:tcPr>
          <w:p>
            <w:pPr>
              <w:jc w:val="right"/>
              <w:ind w:right="243"/>
              <w:spacing w:after="0"/>
              <w:rPr>
                <w:sz w:val="20"/>
                <w:szCs w:val="20"/>
                <w:color w:val="auto"/>
              </w:rPr>
            </w:pPr>
            <w:r>
              <w:rPr>
                <w:rFonts w:ascii="Arial" w:cs="Arial" w:eastAsia="Arial" w:hAnsi="Arial"/>
                <w:sz w:val="11"/>
                <w:szCs w:val="11"/>
                <w:color w:val="auto"/>
              </w:rPr>
              <w:t>Three months ended Jun. 30,</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gridSpan w:val="3"/>
          </w:tcPr>
          <w:p>
            <w:pPr>
              <w:jc w:val="right"/>
              <w:ind w:right="743"/>
              <w:spacing w:after="0"/>
              <w:rPr>
                <w:sz w:val="20"/>
                <w:szCs w:val="20"/>
                <w:color w:val="auto"/>
              </w:rPr>
            </w:pPr>
            <w:r>
              <w:rPr>
                <w:rFonts w:ascii="Arial" w:cs="Arial" w:eastAsia="Arial" w:hAnsi="Arial"/>
                <w:sz w:val="11"/>
                <w:szCs w:val="11"/>
                <w:color w:val="auto"/>
              </w:rPr>
              <w:t>Six months ended Jun. 30,</w:t>
            </w:r>
          </w:p>
        </w:tc>
      </w:tr>
      <w:tr>
        <w:trPr>
          <w:trHeight w:val="152"/>
        </w:trPr>
        <w:tc>
          <w:tcPr>
            <w:tcW w:w="5220" w:type="dxa"/>
            <w:vAlign w:val="bottom"/>
            <w:tcBorders>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10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2022</w:t>
            </w:r>
          </w:p>
        </w:tc>
        <w:tc>
          <w:tcPr>
            <w:tcW w:w="480" w:type="dxa"/>
            <w:vAlign w:val="bottom"/>
            <w:tcBorders>
              <w:bottom w:val="single" w:sz="8" w:color="929292"/>
            </w:tcBorders>
          </w:tcPr>
          <w:p>
            <w:pPr>
              <w:spacing w:after="0"/>
              <w:rPr>
                <w:sz w:val="13"/>
                <w:szCs w:val="13"/>
                <w:color w:val="auto"/>
              </w:rPr>
            </w:pPr>
          </w:p>
        </w:tc>
        <w:tc>
          <w:tcPr>
            <w:tcW w:w="104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929292"/>
            </w:tcBorders>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14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2022</w:t>
            </w:r>
          </w:p>
        </w:tc>
        <w:tc>
          <w:tcPr>
            <w:tcW w:w="380" w:type="dxa"/>
            <w:vAlign w:val="bottom"/>
            <w:tcBorders>
              <w:bottom w:val="single" w:sz="8" w:color="929292"/>
            </w:tcBorders>
          </w:tcPr>
          <w:p>
            <w:pPr>
              <w:spacing w:after="0"/>
              <w:rPr>
                <w:sz w:val="13"/>
                <w:szCs w:val="13"/>
                <w:color w:val="auto"/>
              </w:rPr>
            </w:pPr>
          </w:p>
        </w:tc>
        <w:tc>
          <w:tcPr>
            <w:tcW w:w="110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2021</w:t>
            </w:r>
          </w:p>
        </w:tc>
      </w:tr>
      <w:tr>
        <w:trPr>
          <w:trHeight w:val="147"/>
        </w:trPr>
        <w:tc>
          <w:tcPr>
            <w:tcW w:w="5220" w:type="dxa"/>
            <w:vAlign w:val="bottom"/>
          </w:tcPr>
          <w:p>
            <w:pPr>
              <w:ind w:left="20"/>
              <w:spacing w:after="0"/>
              <w:rPr>
                <w:sz w:val="20"/>
                <w:szCs w:val="20"/>
                <w:color w:val="auto"/>
              </w:rPr>
            </w:pPr>
            <w:r>
              <w:rPr>
                <w:rFonts w:ascii="Arial" w:cs="Arial" w:eastAsia="Arial" w:hAnsi="Arial"/>
                <w:sz w:val="11"/>
                <w:szCs w:val="11"/>
                <w:color w:val="auto"/>
              </w:rPr>
              <w:t>LTV/CAC</w:t>
            </w:r>
          </w:p>
        </w:tc>
        <w:tc>
          <w:tcPr>
            <w:tcW w:w="80" w:type="dxa"/>
            <w:vAlign w:val="bottom"/>
            <w:shd w:val="clear" w:color="auto" w:fill="929292"/>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1.0x</w:t>
            </w:r>
          </w:p>
        </w:tc>
        <w:tc>
          <w:tcPr>
            <w:tcW w:w="1040" w:type="dxa"/>
            <w:vAlign w:val="bottom"/>
          </w:tcPr>
          <w:p>
            <w:pPr>
              <w:spacing w:after="0"/>
              <w:rPr>
                <w:sz w:val="12"/>
                <w:szCs w:val="12"/>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1.4x</w:t>
            </w:r>
          </w:p>
        </w:tc>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1.3x</w:t>
            </w:r>
          </w:p>
        </w:tc>
        <w:tc>
          <w:tcPr>
            <w:tcW w:w="3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1.5x</w:t>
            </w:r>
          </w:p>
        </w:tc>
      </w:tr>
      <w:tr>
        <w:trPr>
          <w:trHeight w:val="166"/>
        </w:trPr>
        <w:tc>
          <w:tcPr>
            <w:tcW w:w="5220" w:type="dxa"/>
            <w:vAlign w:val="bottom"/>
          </w:tcPr>
          <w:p>
            <w:pPr>
              <w:ind w:left="20"/>
              <w:spacing w:after="0"/>
              <w:rPr>
                <w:sz w:val="20"/>
                <w:szCs w:val="20"/>
                <w:color w:val="auto"/>
              </w:rPr>
            </w:pPr>
            <w:r>
              <w:rPr>
                <w:rFonts w:ascii="Arial" w:cs="Arial" w:eastAsia="Arial" w:hAnsi="Arial"/>
                <w:sz w:val="11"/>
                <w:szCs w:val="11"/>
                <w:color w:val="auto"/>
              </w:rPr>
              <w:t>CAC</w:t>
            </w:r>
          </w:p>
        </w:tc>
        <w:tc>
          <w:tcPr>
            <w:tcW w:w="80" w:type="dxa"/>
            <w:vAlign w:val="bottom"/>
            <w:shd w:val="clear" w:color="auto" w:fill="929292"/>
          </w:tcPr>
          <w:p>
            <w:pPr>
              <w:spacing w:after="0"/>
              <w:rPr>
                <w:sz w:val="14"/>
                <w:szCs w:val="14"/>
                <w:color w:val="auto"/>
              </w:rPr>
            </w:pPr>
          </w:p>
        </w:tc>
        <w:tc>
          <w:tcPr>
            <w:tcW w:w="1000" w:type="dxa"/>
            <w:vAlign w:val="bottom"/>
          </w:tcPr>
          <w:p>
            <w:pPr>
              <w:jc w:val="right"/>
              <w:ind w:right="86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67.9</w:t>
            </w:r>
          </w:p>
        </w:tc>
        <w:tc>
          <w:tcPr>
            <w:tcW w:w="1040" w:type="dxa"/>
            <w:vAlign w:val="bottom"/>
          </w:tcPr>
          <w:p>
            <w:pPr>
              <w:jc w:val="right"/>
              <w:ind w:right="86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72.1</w:t>
            </w:r>
          </w:p>
        </w:tc>
        <w:tc>
          <w:tcPr>
            <w:tcW w:w="36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23"/>
              <w:spacing w:after="0"/>
              <w:rPr>
                <w:sz w:val="20"/>
                <w:szCs w:val="20"/>
                <w:color w:val="auto"/>
              </w:rPr>
            </w:pPr>
            <w:r>
              <w:rPr>
                <w:rFonts w:ascii="Arial" w:cs="Arial" w:eastAsia="Arial" w:hAnsi="Arial"/>
                <w:sz w:val="11"/>
                <w:szCs w:val="11"/>
                <w:color w:val="auto"/>
              </w:rPr>
              <w:t>168.0</w:t>
            </w:r>
          </w:p>
        </w:tc>
        <w:tc>
          <w:tcPr>
            <w:tcW w:w="3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145.7</w:t>
            </w:r>
          </w:p>
        </w:tc>
      </w:tr>
    </w:tbl>
    <w:p>
      <w:pPr>
        <w:spacing w:after="0" w:line="234" w:lineRule="exact"/>
        <w:rPr>
          <w:sz w:val="20"/>
          <w:szCs w:val="20"/>
          <w:color w:val="auto"/>
        </w:rPr>
      </w:pPr>
    </w:p>
    <w:p>
      <w:pPr>
        <w:ind w:right="20"/>
        <w:spacing w:after="0" w:line="275" w:lineRule="auto"/>
        <w:rPr>
          <w:sz w:val="20"/>
          <w:szCs w:val="20"/>
          <w:color w:val="auto"/>
        </w:rPr>
      </w:pPr>
      <w:r>
        <w:rPr>
          <w:rFonts w:ascii="Arial" w:cs="Arial" w:eastAsia="Arial" w:hAnsi="Arial"/>
          <w:sz w:val="12"/>
          <w:szCs w:val="12"/>
          <w:color w:val="auto"/>
        </w:rPr>
        <w:t>The decrease in LTV/CAC for the three months ended June 30, 2022 was primarily due to decreases in revenue resulting from our strategic focus on cash flow optimization which was driven by a 19.8% decline in marketing and advertising expense. This was offset by higher cost of revenue and customer care and enrollment costs due to increases in commissionable Approved Submissions in the Medicare—External segment and higher costs associated with a larger agent headcount, respectively. The decrease in LTV/CAC for the six months ended June 30, 2022 was primarily due to the increase in agent headcount driven by the hiring, onboarding, and training of additional agents throughout 2021, particularly in the second and third quarters as we prepared for AEP, and an increase in marketing costs to generate a greater number of prospects for a larger agent workforce, which drove a 13% increase in commissionable Approved Submissions within the Medicare—Internal segment.</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Overview</w:t>
      </w:r>
    </w:p>
    <w:p>
      <w:pPr>
        <w:spacing w:after="0" w:line="167"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Our liquidity needs primarily include working capital and debt service requirements. At June 30, 2022, cash and cash equivalents totaled $76.2 million. We believe that our current sources of liquidity, which include cash and cash equivalents and funds available under the Credit Facilities, as described further below, will be sufficient to meet our projected operating and debt service requirements for at least the next 12 months. Short-term liquidity needs will primarily be funded through the Revolving Credit Facilities, as described further below, if necessary. As of June 30, 2022, the Company had $155.0 million outstanding under the Revolving Credit Facilities and had a remaining capacity of $45.0 million.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summary of cash flows for the six months ended June 30,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523"/>
              <w:spacing w:after="0"/>
              <w:rPr>
                <w:sz w:val="20"/>
                <w:szCs w:val="20"/>
                <w:color w:val="auto"/>
              </w:rPr>
            </w:pPr>
            <w:r>
              <w:rPr>
                <w:rFonts w:ascii="Arial" w:cs="Arial" w:eastAsia="Arial" w:hAnsi="Arial"/>
                <w:sz w:val="11"/>
                <w:szCs w:val="11"/>
                <w:color w:val="auto"/>
              </w:rPr>
              <w:t>Six months ended Jun. 30,</w:t>
            </w:r>
          </w:p>
        </w:tc>
        <w:tc>
          <w:tcPr>
            <w:tcW w:w="0" w:type="dxa"/>
            <w:vAlign w:val="bottom"/>
          </w:tcPr>
          <w:p>
            <w:pPr>
              <w:spacing w:after="0"/>
              <w:rPr>
                <w:sz w:val="1"/>
                <w:szCs w:val="1"/>
                <w:color w:val="auto"/>
              </w:rPr>
            </w:pPr>
          </w:p>
        </w:tc>
      </w:tr>
      <w:tr>
        <w:trPr>
          <w:trHeight w:val="152"/>
        </w:trPr>
        <w:tc>
          <w:tcPr>
            <w:tcW w:w="486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Borders>
              <w:bottom w:val="single" w:sz="8" w:color="929292"/>
            </w:tcBorders>
          </w:tcPr>
          <w:p>
            <w:pPr>
              <w:spacing w:after="0"/>
              <w:rPr>
                <w:sz w:val="13"/>
                <w:szCs w:val="13"/>
                <w:color w:val="auto"/>
              </w:rPr>
            </w:pPr>
          </w:p>
        </w:tc>
        <w:tc>
          <w:tcPr>
            <w:tcW w:w="1560" w:type="dxa"/>
            <w:vAlign w:val="bottom"/>
            <w:tcBorders>
              <w:bottom w:val="single" w:sz="8" w:color="929292"/>
            </w:tcBorders>
          </w:tcPr>
          <w:p>
            <w:pPr>
              <w:spacing w:after="0"/>
              <w:rPr>
                <w:sz w:val="13"/>
                <w:szCs w:val="13"/>
                <w:color w:val="auto"/>
              </w:rPr>
            </w:pPr>
          </w:p>
        </w:tc>
        <w:tc>
          <w:tcPr>
            <w:tcW w:w="2220" w:type="dxa"/>
            <w:vAlign w:val="bottom"/>
            <w:tcBorders>
              <w:bottom w:val="single" w:sz="8" w:color="929292"/>
            </w:tcBorders>
          </w:tcPr>
          <w:p>
            <w:pPr>
              <w:spacing w:after="0"/>
              <w:rPr>
                <w:sz w:val="13"/>
                <w:szCs w:val="13"/>
                <w:color w:val="auto"/>
              </w:rPr>
            </w:pPr>
          </w:p>
        </w:tc>
        <w:tc>
          <w:tcPr>
            <w:tcW w:w="100" w:type="dxa"/>
            <w:vAlign w:val="bottom"/>
            <w:tcBorders>
              <w:bottom w:val="single" w:sz="8" w:color="929292"/>
            </w:tcBorders>
            <w:shd w:val="clear" w:color="auto" w:fill="929292"/>
          </w:tcPr>
          <w:p>
            <w:pPr>
              <w:spacing w:after="0"/>
              <w:rPr>
                <w:sz w:val="13"/>
                <w:szCs w:val="13"/>
                <w:color w:val="auto"/>
              </w:rPr>
            </w:pPr>
          </w:p>
        </w:tc>
        <w:tc>
          <w:tcPr>
            <w:tcW w:w="280" w:type="dxa"/>
            <w:vAlign w:val="bottom"/>
            <w:tcBorders>
              <w:bottom w:val="single" w:sz="8" w:color="929292"/>
            </w:tcBorders>
          </w:tcPr>
          <w:p>
            <w:pPr>
              <w:spacing w:after="0"/>
              <w:rPr>
                <w:sz w:val="13"/>
                <w:szCs w:val="13"/>
                <w:color w:val="auto"/>
              </w:rPr>
            </w:pPr>
          </w:p>
        </w:tc>
        <w:tc>
          <w:tcPr>
            <w:tcW w:w="980" w:type="dxa"/>
            <w:vAlign w:val="bottom"/>
            <w:tcBorders>
              <w:bottom w:val="single" w:sz="8" w:color="929292"/>
            </w:tcBorders>
          </w:tcPr>
          <w:p>
            <w:pPr>
              <w:jc w:val="right"/>
              <w:ind w:right="483"/>
              <w:spacing w:after="0"/>
              <w:rPr>
                <w:sz w:val="20"/>
                <w:szCs w:val="20"/>
                <w:color w:val="auto"/>
              </w:rPr>
            </w:pPr>
            <w:r>
              <w:rPr>
                <w:rFonts w:ascii="Arial" w:cs="Arial" w:eastAsia="Arial" w:hAnsi="Arial"/>
                <w:sz w:val="11"/>
                <w:szCs w:val="11"/>
                <w:color w:val="auto"/>
              </w:rPr>
              <w:t>2022</w:t>
            </w:r>
          </w:p>
        </w:tc>
        <w:tc>
          <w:tcPr>
            <w:tcW w:w="340" w:type="dxa"/>
            <w:vAlign w:val="bottom"/>
            <w:tcBorders>
              <w:bottom w:val="single" w:sz="8" w:color="929292"/>
            </w:tcBorders>
          </w:tcPr>
          <w:p>
            <w:pPr>
              <w:spacing w:after="0"/>
              <w:rPr>
                <w:sz w:val="13"/>
                <w:szCs w:val="13"/>
                <w:color w:val="auto"/>
              </w:rPr>
            </w:pPr>
          </w:p>
        </w:tc>
        <w:tc>
          <w:tcPr>
            <w:tcW w:w="920" w:type="dxa"/>
            <w:vAlign w:val="bottom"/>
            <w:tcBorders>
              <w:bottom w:val="single" w:sz="8" w:color="929292"/>
            </w:tcBorders>
          </w:tcPr>
          <w:p>
            <w:pPr>
              <w:jc w:val="right"/>
              <w:ind w:right="423"/>
              <w:spacing w:after="0"/>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147"/>
        </w:trPr>
        <w:tc>
          <w:tcPr>
            <w:tcW w:w="4860" w:type="dxa"/>
            <w:vAlign w:val="bottom"/>
          </w:tcPr>
          <w:p>
            <w:pPr>
              <w:ind w:left="20"/>
              <w:spacing w:after="0"/>
              <w:rPr>
                <w:sz w:val="20"/>
                <w:szCs w:val="20"/>
                <w:color w:val="auto"/>
              </w:rPr>
            </w:pPr>
            <w:r>
              <w:rPr>
                <w:rFonts w:ascii="Arial" w:cs="Arial" w:eastAsia="Arial" w:hAnsi="Arial"/>
                <w:sz w:val="11"/>
                <w:szCs w:val="11"/>
                <w:color w:val="auto"/>
              </w:rPr>
              <w:t>Net cash provided by (used in) operating activities</w:t>
            </w: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shd w:val="clear" w:color="auto" w:fill="929292"/>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6,377</w:t>
            </w:r>
          </w:p>
        </w:tc>
        <w:tc>
          <w:tcPr>
            <w:tcW w:w="3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(32,250)</w:t>
            </w:r>
          </w:p>
        </w:tc>
        <w:tc>
          <w:tcPr>
            <w:tcW w:w="0" w:type="dxa"/>
            <w:vAlign w:val="bottom"/>
          </w:tcPr>
          <w:p>
            <w:pPr>
              <w:spacing w:after="0"/>
              <w:rPr>
                <w:sz w:val="1"/>
                <w:szCs w:val="1"/>
                <w:color w:val="auto"/>
              </w:rPr>
            </w:pPr>
          </w:p>
        </w:tc>
      </w:tr>
      <w:tr>
        <w:trPr>
          <w:trHeight w:val="159"/>
        </w:trPr>
        <w:tc>
          <w:tcPr>
            <w:tcW w:w="4860" w:type="dxa"/>
            <w:vAlign w:val="bottom"/>
          </w:tcPr>
          <w:p>
            <w:pPr>
              <w:ind w:left="20"/>
              <w:spacing w:after="0"/>
              <w:rPr>
                <w:sz w:val="20"/>
                <w:szCs w:val="20"/>
                <w:color w:val="auto"/>
              </w:rPr>
            </w:pPr>
            <w:r>
              <w:rPr>
                <w:rFonts w:ascii="Arial" w:cs="Arial" w:eastAsia="Arial" w:hAnsi="Arial"/>
                <w:sz w:val="11"/>
                <w:szCs w:val="11"/>
                <w:color w:val="auto"/>
              </w:rPr>
              <w:t>Net cash used in investing activities</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shd w:val="clear" w:color="auto" w:fill="929292"/>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(9,658)</w:t>
            </w:r>
          </w:p>
        </w:tc>
        <w:tc>
          <w:tcPr>
            <w:tcW w:w="3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(7,909)</w:t>
            </w:r>
          </w:p>
        </w:tc>
        <w:tc>
          <w:tcPr>
            <w:tcW w:w="0" w:type="dxa"/>
            <w:vAlign w:val="bottom"/>
          </w:tcPr>
          <w:p>
            <w:pPr>
              <w:spacing w:after="0"/>
              <w:rPr>
                <w:sz w:val="1"/>
                <w:szCs w:val="1"/>
                <w:color w:val="auto"/>
              </w:rPr>
            </w:pPr>
          </w:p>
        </w:tc>
      </w:tr>
      <w:tr>
        <w:trPr>
          <w:trHeight w:val="166"/>
        </w:trPr>
        <w:tc>
          <w:tcPr>
            <w:tcW w:w="4860" w:type="dxa"/>
            <w:vAlign w:val="bottom"/>
          </w:tcPr>
          <w:p>
            <w:pPr>
              <w:ind w:left="20"/>
              <w:spacing w:after="0"/>
              <w:rPr>
                <w:sz w:val="20"/>
                <w:szCs w:val="20"/>
                <w:color w:val="auto"/>
              </w:rPr>
            </w:pPr>
            <w:r>
              <w:rPr>
                <w:rFonts w:ascii="Arial" w:cs="Arial" w:eastAsia="Arial" w:hAnsi="Arial"/>
                <w:sz w:val="11"/>
                <w:szCs w:val="11"/>
                <w:color w:val="auto"/>
              </w:rPr>
              <w:t>Net cash (used in) provided by financing activities</w:t>
            </w: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(4,463)</w:t>
            </w: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8,888</w:t>
            </w:r>
          </w:p>
        </w:tc>
        <w:tc>
          <w:tcPr>
            <w:tcW w:w="0" w:type="dxa"/>
            <w:vAlign w:val="bottom"/>
          </w:tcPr>
          <w:p>
            <w:pPr>
              <w:spacing w:after="0"/>
              <w:rPr>
                <w:sz w:val="1"/>
                <w:szCs w:val="1"/>
                <w:color w:val="auto"/>
              </w:rPr>
            </w:pPr>
          </w:p>
        </w:tc>
      </w:tr>
      <w:tr>
        <w:trPr>
          <w:trHeight w:val="401"/>
        </w:trPr>
        <w:tc>
          <w:tcPr>
            <w:tcW w:w="4860" w:type="dxa"/>
            <w:vAlign w:val="bottom"/>
          </w:tcPr>
          <w:p>
            <w:pPr>
              <w:spacing w:after="0"/>
              <w:rPr>
                <w:sz w:val="20"/>
                <w:szCs w:val="20"/>
                <w:color w:val="auto"/>
              </w:rPr>
            </w:pPr>
            <w:r>
              <w:rPr>
                <w:rFonts w:ascii="Arial" w:cs="Arial" w:eastAsia="Arial" w:hAnsi="Arial"/>
                <w:sz w:val="13"/>
                <w:szCs w:val="13"/>
                <w:i w:val="1"/>
                <w:iCs w:val="1"/>
                <w:color w:val="auto"/>
              </w:rPr>
              <w:t>Operating Activities</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560" w:type="dxa"/>
            <w:vAlign w:val="bottom"/>
            <w:vMerge w:val="restart"/>
          </w:tcPr>
          <w:p>
            <w:pPr>
              <w:ind w:left="340"/>
              <w:spacing w:after="0"/>
              <w:rPr>
                <w:sz w:val="20"/>
                <w:szCs w:val="20"/>
                <w:color w:val="auto"/>
              </w:rPr>
            </w:pPr>
            <w:r>
              <w:rPr>
                <w:rFonts w:ascii="Arial" w:cs="Arial" w:eastAsia="Arial" w:hAnsi="Arial"/>
                <w:sz w:val="11"/>
                <w:szCs w:val="11"/>
                <w:color w:val="auto"/>
              </w:rPr>
              <w:t>2022 Form 10-Q</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vMerge w:val="continue"/>
          </w:tcPr>
          <w:p>
            <w:pPr>
              <w:spacing w:after="0"/>
              <w:rPr>
                <w:sz w:val="13"/>
                <w:szCs w:val="13"/>
                <w:color w:val="auto"/>
              </w:rPr>
            </w:pPr>
          </w:p>
        </w:tc>
        <w:tc>
          <w:tcPr>
            <w:tcW w:w="2220" w:type="dxa"/>
            <w:vAlign w:val="bottom"/>
            <w:tcBorders>
              <w:left w:val="single" w:sz="8" w:color="auto"/>
            </w:tcBorders>
          </w:tcPr>
          <w:p>
            <w:pPr>
              <w:jc w:val="right"/>
              <w:ind w:right="1963"/>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39" w:name="page40"/>
    <w:bookmarkEnd w:id="39"/>
    <w:p>
      <w:pPr>
        <w:ind w:right="100"/>
        <w:spacing w:after="0" w:line="261" w:lineRule="auto"/>
        <w:rPr>
          <w:sz w:val="20"/>
          <w:szCs w:val="20"/>
          <w:color w:val="auto"/>
        </w:rPr>
      </w:pPr>
      <w:r>
        <w:rPr>
          <w:rFonts w:ascii="Arial" w:cs="Arial" w:eastAsia="Arial" w:hAnsi="Arial"/>
          <w:sz w:val="13"/>
          <w:szCs w:val="13"/>
          <w:color w:val="auto"/>
        </w:rPr>
        <w:t>Cash provided by operating activities primarily consists of net income (loss) adjusted for certain non-cash items including share-based compensation; depreciation and amortization; amortization of intangible assets; amortization of debt discount and issuance costs; operating lease impairment charges; loss on extinguishment of debt; noncash lease expense; and the effect of changes in working capital and other activities.</w:t>
      </w:r>
    </w:p>
    <w:p>
      <w:pPr>
        <w:spacing w:after="0" w:line="138"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Collection of commissions receivable depends upon the timing of the receipt of commission payments. If there were to be a delay in receiving a commission payment from a carrier within a quarter, the operating cash flows for that quarter could be adversely impacted.</w:t>
      </w:r>
    </w:p>
    <w:p>
      <w:pPr>
        <w:spacing w:after="0" w:line="125"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A significant portion of marketing and advertising expense is driven by the number of qualified prospects required to generate the insurance applications submitted to carriers.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w:t>
      </w:r>
    </w:p>
    <w:p>
      <w:pPr>
        <w:spacing w:after="0" w:line="138" w:lineRule="exact"/>
        <w:rPr>
          <w:sz w:val="20"/>
          <w:szCs w:val="20"/>
          <w:color w:val="auto"/>
        </w:rPr>
      </w:pPr>
    </w:p>
    <w:p>
      <w:pPr>
        <w:ind w:right="320"/>
        <w:spacing w:after="0" w:line="281" w:lineRule="auto"/>
        <w:rPr>
          <w:sz w:val="20"/>
          <w:szCs w:val="20"/>
          <w:color w:val="auto"/>
        </w:rPr>
      </w:pPr>
      <w:r>
        <w:rPr>
          <w:rFonts w:ascii="Arial" w:cs="Arial" w:eastAsia="Arial" w:hAnsi="Arial"/>
          <w:sz w:val="12"/>
          <w:szCs w:val="12"/>
          <w:color w:val="auto"/>
        </w:rPr>
        <w:t>Net cash provided by operating activities was $6.4 million for the six months ended June 30, 2022, compared to cash used in operating activities of $32.3 million for the six months ended June 30, 2021. The $38.6 million increase is primarily driven by a decrease in commissions receivable of $165.6 million, a decrease in prepaid expenses and other current assets of $51.6 million, and an increase in other liabilities of $9.4 million, partially offset by an increase in net loss of $104.5 million, a decrease in accounts payable of $32.0 million, a decrease in commissions payable of $31.0 million, a decrease in accrued liabilities of $23.9 million, an increase in accounts receivable of $18.4 million, and other adjustments for non-cash items of $21.9 million.</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167"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color w:val="auto"/>
        </w:rPr>
        <w:t>Net cash used in investing activities increased to $9.7 million for the six months ended June 30, 2022, from $7.9 million for the six months ended June 30, 2021. The increase was primarily driven by an increase in capitalized internal-use software related to new technology, software, and systems and purchases of property and equipment.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167"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Net cash used in financing activities was $4.5 million for the six months ended June 30, 2022, from $8.9 million cash provided by financing activities for the six months ended June 30, 2021. The change was primarily due to the net cash inflows during the six months ended June 30, 2021 resulting from the refinancing on our Initial Term Loan and the collection of the short-term advancement to NVX Holdings. No such events occurred during the six months ended June 30, 2022.</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Facilities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Term Loan Facilities</w:t>
      </w:r>
    </w:p>
    <w:p>
      <w:pPr>
        <w:spacing w:after="0" w:line="167"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On September 13, 2019, in connection with the Acquisition, Norvax (“the Borrower”) entered into a first lien credit agreement (the “Credit Agreement”) which provided for a $300.0 million aggregate principal amount senior secured term loan facility (the “Initial Term Loan Facility”). During 2020, the Company entered into a series of amendments to the Credit Agreement to provide for, among other items as further described below, $117.0 million of incremental term loans (the “Incremental Term Loan Facility”).</w:t>
      </w:r>
    </w:p>
    <w:p>
      <w:pPr>
        <w:spacing w:after="0" w:line="138"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On June 11, 2021, the Company entered into Amendment No. 5 to the Credit Agreement and Incremental Facility Agreement (“Amendment No. 5”). Amendment No. 5 creates a new class of incremental term loans (the “2021 Incremental Term Loans”) in an aggregate principal amount equal to $310.0 million, which was used to refinance $295.5 million of outstanding principal under the Initial Term Loan Facility, pay the related accrued interest and fund the prepayment premium. In connection with Amendment No. 5 and the refinancing of the Initial Term Loan, the Company recognized an $11.9 million loss on debt extinguishment, representing the 2% prepayment premium of $5.9 million and the write-down of deferred financing costs and debt discounts of $6.0 million. The Company incurred $1.7 million of debt issuance costs associated with Amendment No. 5, which are being amortized over the life of the debt to interest expense using the effective interest method.</w:t>
      </w:r>
    </w:p>
    <w:p>
      <w:pPr>
        <w:spacing w:after="0" w:line="33" w:lineRule="exact"/>
        <w:rPr>
          <w:sz w:val="20"/>
          <w:szCs w:val="20"/>
          <w:color w:val="auto"/>
        </w:rPr>
      </w:pPr>
    </w:p>
    <w:p>
      <w:pPr>
        <w:jc w:val="both"/>
        <w:ind w:right="120"/>
        <w:spacing w:after="0" w:line="252" w:lineRule="auto"/>
        <w:rPr>
          <w:sz w:val="20"/>
          <w:szCs w:val="20"/>
          <w:color w:val="auto"/>
        </w:rPr>
      </w:pPr>
      <w:r>
        <w:rPr>
          <w:rFonts w:ascii="Arial" w:cs="Arial" w:eastAsia="Arial" w:hAnsi="Arial"/>
          <w:sz w:val="13"/>
          <w:szCs w:val="13"/>
          <w:color w:val="auto"/>
        </w:rPr>
        <w:t>On November 10, 2021, the Company entered into Amendment No. 6 to the Credit Agreement and Incremental Facility Agreement (“Amendment No. 6”). Amendment No. 6 provides $100.0 million of incremental term loans, or the “2021-2 Incremental Term Loans”. The Company incurred $2.5 million of debt issuance costs associated with Amendment No. 6, which are being amortized over the life of the debt to interest expense using the effective interest method.</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The Company collectively refers to the Initial Term Loan Facility, the Incremental Term Loan Facility, and the 2021 Incremental Term Loans as the “Term Loan Facilities”.</w:t>
      </w:r>
    </w:p>
    <w:p>
      <w:pPr>
        <w:spacing w:after="0" w:line="169"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As of June 30, 2022, the Company had a principal amount of $114.4 million, $306.9 million, and $99.5 million outstanding under the Incremental Term Loan Facility, the 2021 Incremental Term Loans, and the 2021-2 Incremental Term Loans, respectively. As of December 31, 2021, the Company had a principal amount of $115.0 million $308.4 million, and $100.0 million outstanding under the Incremental Term Loan Facility, the 2021 Incremental Term Loans, and the 2021-2 Incremental Term Loans,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37</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40" w:name="page41"/>
    <w:bookmarkEnd w:id="40"/>
    <w:p>
      <w:pPr>
        <w:ind w:right="160"/>
        <w:spacing w:after="0" w:line="261" w:lineRule="auto"/>
        <w:rPr>
          <w:sz w:val="20"/>
          <w:szCs w:val="20"/>
          <w:color w:val="auto"/>
        </w:rPr>
      </w:pPr>
      <w:r>
        <w:rPr>
          <w:rFonts w:ascii="Arial" w:cs="Arial" w:eastAsia="Arial" w:hAnsi="Arial"/>
          <w:sz w:val="13"/>
          <w:szCs w:val="13"/>
          <w:color w:val="auto"/>
        </w:rPr>
        <w:t>respectively. The Incremental Term Loan Facility effective interest rate was 7.5% at both June 30, 2022 and December 31, 2021. The 2021 Incremental Term Loans and the 2021-2 Incremental Term Loans effective interest rates were 7.5% and 7.7% at June 30, 2022, respectively. The 2021 Incremental Term Loan and the 2021-2 Incremental Term Loan effective interest rate was 6.0% at December 31, 2021.</w:t>
      </w:r>
    </w:p>
    <w:p>
      <w:pPr>
        <w:spacing w:after="0" w:line="138"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Borrowings under the Incremental Term Loan Facility are, at the option of the Borrower, either (i) alternate base rate (“ABR”) plus 5.50% per annum or (ii) LIBOR plus 6.50% per annum. The 2021 Incremental Term Loans from and after the 2021-2 Incremental Term Loans Closing Date, or November 10, 2021, and the 2021-2 Incremental Term Loans, bear interest at either (i) ABR plus 4.00% per annum or (ii) LIBOR plus 5.00% per annum.</w:t>
      </w:r>
    </w:p>
    <w:p>
      <w:pPr>
        <w:spacing w:after="0" w:line="138" w:lineRule="exact"/>
        <w:rPr>
          <w:sz w:val="20"/>
          <w:szCs w:val="20"/>
          <w:color w:val="auto"/>
        </w:rPr>
      </w:pPr>
    </w:p>
    <w:p>
      <w:pPr>
        <w:ind w:right="140"/>
        <w:spacing w:after="0" w:line="278" w:lineRule="auto"/>
        <w:rPr>
          <w:sz w:val="20"/>
          <w:szCs w:val="20"/>
          <w:color w:val="auto"/>
        </w:rPr>
      </w:pPr>
      <w:r>
        <w:rPr>
          <w:rFonts w:ascii="Arial" w:cs="Arial" w:eastAsia="Arial" w:hAnsi="Arial"/>
          <w:sz w:val="12"/>
          <w:szCs w:val="12"/>
          <w:color w:val="auto"/>
        </w:rPr>
        <w:t>On March 14, 2022, the Company entered into Amendment No. 7 to the Credit Agreement and Incremental Facility Agreement (“Amendment No. 7”). Amendment No. 7 provides that (a) the 2021 Incremental Term Loans, from and after the Amendment No. 7 Effective Date, will bear interest at either (i) alternate base rate (“ABR”) plus 5.50% per annum or (ii) LIBOR plus 6.50% per annum and</w:t>
      </w:r>
    </w:p>
    <w:p>
      <w:pPr>
        <w:ind w:right="60" w:firstLine="5"/>
        <w:spacing w:after="0" w:line="247" w:lineRule="auto"/>
        <w:tabs>
          <w:tab w:leader="none" w:pos="191"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2021-2 Incremental Term Loans, from and after the Amendment No. 7 Effective Date, will bear interest at either (i) ABR plus 5.50% per annum or (ii) LIBOR plus 6.50% per annum. Amendment No. 7 further amended the Credit Agreement to remove testing of the Net Leverage Ratio for the December 31, 2021 period and increase the maximum permitted Net Leverage Ratio for future reporting periods through March 31, 2023. The Company incurred $1.7 million of debt issuance costs associated with Amendment No. 7, which are being amortized over the life of the debt to interest expense using the effective interest method.</w:t>
      </w:r>
    </w:p>
    <w:p>
      <w:pPr>
        <w:spacing w:after="0" w:line="158" w:lineRule="exact"/>
        <w:rPr>
          <w:sz w:val="20"/>
          <w:szCs w:val="20"/>
          <w:color w:val="auto"/>
        </w:rPr>
      </w:pPr>
    </w:p>
    <w:p>
      <w:pPr>
        <w:ind w:right="160"/>
        <w:spacing w:after="0" w:line="253" w:lineRule="auto"/>
        <w:rPr>
          <w:sz w:val="20"/>
          <w:szCs w:val="20"/>
          <w:color w:val="auto"/>
        </w:rPr>
      </w:pPr>
      <w:r>
        <w:rPr>
          <w:rFonts w:ascii="Arial" w:cs="Arial" w:eastAsia="Arial" w:hAnsi="Arial"/>
          <w:sz w:val="13"/>
          <w:szCs w:val="13"/>
          <w:color w:val="auto"/>
        </w:rPr>
        <w:t>On August 12, 2022, the Company entered into Amendment No. 8 to the Credit Agreement and Incremental Facility Agreement (“Amendment No. 8”). Amendment No. 8 provided that (a) the 2021 Incremental Term Loans, from and after the Amendment No. 8 Effective Date, will bear interest at either (i) ABR plus 6.50% per annum or (ii) LIBOR plus 7.50% per annum and (b) the 2021-2 Incremental Term Loans, from and after the Amendment No. 8 Effective Date, will bear interest at either (i) ABR plus 6.50% per annum or (ii) LIBOR plus 7.50% per annum. Amendment No. 8 further amended the Credit Agreement to increase the maximum permitted Net Leverage Ratio for future reporting periods from December 31, 2022 through June 30, 2023.</w:t>
      </w:r>
    </w:p>
    <w:p>
      <w:pPr>
        <w:spacing w:after="0" w:line="144"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Revolving Credit Facilities</w:t>
      </w:r>
    </w:p>
    <w:p>
      <w:pPr>
        <w:spacing w:after="0" w:line="167"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The Credit Agreement provided for a $30.0 million aggregate principal amount senior secured revolving credit facility (the “Revolving Credit Facility”). During 2020, the Company entered into a series of amendments to the Credit Agreement to provide for $28.0 million of incremental revolving credit (the “Incremental Revolving Credit Facilities”).</w:t>
      </w:r>
    </w:p>
    <w:p>
      <w:pPr>
        <w:spacing w:after="0" w:line="125" w:lineRule="exact"/>
        <w:rPr>
          <w:sz w:val="20"/>
          <w:szCs w:val="20"/>
          <w:color w:val="auto"/>
        </w:rPr>
      </w:pPr>
    </w:p>
    <w:p>
      <w:pPr>
        <w:ind w:right="500"/>
        <w:spacing w:after="0" w:line="283" w:lineRule="auto"/>
        <w:rPr>
          <w:sz w:val="20"/>
          <w:szCs w:val="20"/>
          <w:color w:val="auto"/>
        </w:rPr>
      </w:pPr>
      <w:r>
        <w:rPr>
          <w:rFonts w:ascii="Arial" w:cs="Arial" w:eastAsia="Arial" w:hAnsi="Arial"/>
          <w:sz w:val="13"/>
          <w:szCs w:val="13"/>
          <w:color w:val="auto"/>
        </w:rPr>
        <w:t>On May 7, 2021, the Company entered into a fourth amendment to the Credit Agreement, which provided $142.0 million of incremental revolving credit (the “Incremental No. 4 Revolving Credit Facility”), for a total amount of $200.0 million.</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Company collectively refers to the Revolving Credit Facility, the Incremental Revolving Credit Facilities, and the Incremental No. 4 Revolving Credit Facility as the “Revolving Credit Facilities”.</w:t>
      </w:r>
    </w:p>
    <w:p>
      <w:pPr>
        <w:spacing w:after="0" w:line="169" w:lineRule="exact"/>
        <w:rPr>
          <w:sz w:val="20"/>
          <w:szCs w:val="20"/>
          <w:color w:val="auto"/>
        </w:rPr>
      </w:pPr>
    </w:p>
    <w:p>
      <w:pPr>
        <w:ind w:right="480"/>
        <w:spacing w:after="0" w:line="283" w:lineRule="auto"/>
        <w:rPr>
          <w:sz w:val="20"/>
          <w:szCs w:val="20"/>
          <w:color w:val="auto"/>
        </w:rPr>
      </w:pPr>
      <w:r>
        <w:rPr>
          <w:rFonts w:ascii="Arial" w:cs="Arial" w:eastAsia="Arial" w:hAnsi="Arial"/>
          <w:sz w:val="13"/>
          <w:szCs w:val="13"/>
          <w:color w:val="auto"/>
        </w:rPr>
        <w:t>Amendment No. 5, as described above, also separates the Revolving Credit Facilities into two classes of revolving commitments consisting of Class A Revolving Commitments in the amount of $30.0 million and Class B Revolving Commitments in the amount of $170.0 million.</w:t>
      </w:r>
    </w:p>
    <w:p>
      <w:pPr>
        <w:spacing w:after="0" w:line="125" w:lineRule="exact"/>
        <w:rPr>
          <w:sz w:val="20"/>
          <w:szCs w:val="20"/>
          <w:color w:val="auto"/>
        </w:rPr>
      </w:pPr>
    </w:p>
    <w:p>
      <w:pPr>
        <w:ind w:right="280"/>
        <w:spacing w:after="0" w:line="327" w:lineRule="auto"/>
        <w:rPr>
          <w:sz w:val="20"/>
          <w:szCs w:val="20"/>
          <w:color w:val="auto"/>
        </w:rPr>
      </w:pPr>
      <w:r>
        <w:rPr>
          <w:rFonts w:ascii="Arial" w:cs="Arial" w:eastAsia="Arial" w:hAnsi="Arial"/>
          <w:sz w:val="12"/>
          <w:szCs w:val="12"/>
          <w:color w:val="auto"/>
        </w:rPr>
        <w:t>Borrowings under the Class A Revolving Commitments bear interest at either ABR plus 5.50% per annum or LIBOR plus 6.50% per annum. Borrowings under the Class B Revolving Commitments bear interest at either ABR plus 3.00% per annum or LIBOR plus 4.00% per annum. The Borrower is required to pay a commitment fee of 0.50% per annum under the Revolving Credit Facilities.</w:t>
      </w:r>
    </w:p>
    <w:p>
      <w:pPr>
        <w:spacing w:after="0" w:line="101" w:lineRule="exact"/>
        <w:rPr>
          <w:sz w:val="20"/>
          <w:szCs w:val="20"/>
          <w:color w:val="auto"/>
        </w:rPr>
      </w:pPr>
    </w:p>
    <w:p>
      <w:pPr>
        <w:jc w:val="both"/>
        <w:ind w:right="240"/>
        <w:spacing w:after="0" w:line="261" w:lineRule="auto"/>
        <w:rPr>
          <w:sz w:val="20"/>
          <w:szCs w:val="20"/>
          <w:color w:val="auto"/>
        </w:rPr>
      </w:pPr>
      <w:r>
        <w:rPr>
          <w:rFonts w:ascii="Arial" w:cs="Arial" w:eastAsia="Arial" w:hAnsi="Arial"/>
          <w:sz w:val="13"/>
          <w:szCs w:val="13"/>
          <w:color w:val="auto"/>
        </w:rPr>
        <w:t>The Company had $23.2 million outstanding under the Class A Revolving Credit Facilities and $131.8 million outstanding under the Class B Revolving Credit Facilities as of both June 30, 2022 and December 31, 2021. The Revolving Credit Facilities have a remaining capacity of $45.0 million in the aggregate as of June 30, 2022. The Class A Revolving Credit Facilities and Class B Revolving Credit Facilities effective interest rates were 8.1% and 5.6% at June 30, 2022, respectively, and 7.5% and 5.0% at December 31, 2021,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Outstanding borrowings under the Revolving Credit Facilities do not amortize and are due and payable on September 13, 2024.</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41" w:name="page42"/>
    <w:bookmarkEnd w:id="41"/>
    <w:p>
      <w:pPr>
        <w:ind w:right="460"/>
        <w:spacing w:after="0" w:line="266" w:lineRule="auto"/>
        <w:rPr>
          <w:sz w:val="20"/>
          <w:szCs w:val="20"/>
          <w:color w:val="auto"/>
        </w:rPr>
      </w:pPr>
      <w:r>
        <w:rPr>
          <w:rFonts w:ascii="Arial" w:cs="Arial" w:eastAsia="Arial" w:hAnsi="Arial"/>
          <w:sz w:val="13"/>
          <w:szCs w:val="13"/>
          <w:color w:val="auto"/>
        </w:rPr>
        <w:t>For a discussion of new accounting pronouncements recently adopted and not yet adopted, see Part 1, Note 1, “Description Of Business And Significant Accounting Policies,” to the Condensed Consolidated Financial Statements included elsewhere in this Quarterly Report on Form 10-Q.</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69"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The Medicare annual enrollment period occurs from October 15th to December 7th.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1st to March 31st, commission revenue is typically second-highest in our first quarter. The second and third quarters are known as special election periods, and are our seasonally smallest quarters.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The preparation of our Condensed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most significant items involving management’s estimates include estimates of revenue recognition, commissions receivable, and commissions payable. The impact of changes in estimates is recorded in the period in which they become known.</w:t>
      </w:r>
    </w:p>
    <w:p>
      <w:pPr>
        <w:spacing w:after="0" w:line="155"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(1) revenue recognition and commissions receivable, (2) share-based compensation, (3) intangible assets, (4) income taxes and (5) liabilities pursuant to TRAs.</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3"/>
          <w:szCs w:val="13"/>
          <w:color w:val="auto"/>
        </w:rPr>
        <w:t>Our critical accounting policies are described under the heading “Management’s Discussion and Analysis of Financial Condition and Results of Operations—Critical Accounting Policies” in our 2021 Form 10-K. During the three and six months ended June 30, 2022, there were no material changes to our critical accounting policies from those discussed in our 2021 Form 10-K, with the exception of our policy to test goodwill for impairment on an annual basis in the fourth quarter of each year, on November 30th, or whenever events or changes in circumstances indicate that the goodwill may be impaired. This change was driven by the annual goodwill impairment test conducted as of November 30, 2021, which resulted in the Company recognizing goodwill impairment charges of $386.6 million in the fourth quarter of 2021, representing the full amount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1079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3.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As a smaller reporting company, we are not required to include disclosure under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61530" cy="1079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4. CONTROLS AND PROCEDURES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Limitations on Effectiveness of Controls and Procedures</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179" w:lineRule="exact"/>
        <w:rPr>
          <w:sz w:val="20"/>
          <w:szCs w:val="20"/>
          <w:color w:val="auto"/>
        </w:rPr>
      </w:pPr>
    </w:p>
    <w:p>
      <w:pPr>
        <w:ind w:right="120"/>
        <w:spacing w:after="0" w:line="309" w:lineRule="auto"/>
        <w:rPr>
          <w:sz w:val="20"/>
          <w:szCs w:val="20"/>
          <w:color w:val="auto"/>
        </w:rPr>
      </w:pPr>
      <w:r>
        <w:rPr>
          <w:rFonts w:ascii="Arial" w:cs="Arial" w:eastAsia="Arial" w:hAnsi="Arial"/>
          <w:sz w:val="12"/>
          <w:szCs w:val="12"/>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42" w:name="page43"/>
    <w:bookmarkEnd w:id="42"/>
    <w:p>
      <w:pPr>
        <w:jc w:val="both"/>
        <w:ind w:right="220"/>
        <w:spacing w:after="0" w:line="261" w:lineRule="auto"/>
        <w:rPr>
          <w:sz w:val="20"/>
          <w:szCs w:val="20"/>
          <w:color w:val="auto"/>
        </w:rPr>
      </w:pPr>
      <w:r>
        <w:rPr>
          <w:rFonts w:ascii="Arial" w:cs="Arial" w:eastAsia="Arial" w:hAnsi="Arial"/>
          <w:sz w:val="13"/>
          <w:szCs w:val="13"/>
          <w:color w:val="auto"/>
        </w:rPr>
        <w:t>officer concluded that our disclosure controls and procedures were not effective as of June 30, 2022, because of the material weakness in internal control over financial reporting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49"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Based on this evaluation and those criteria, our management concluded that our internal control over financial reporting was ineffective as of June 30, 2022, because we identified a material weakness related to the ineffective design and operation of process level controls that addressed the completeness and accuracy of key financial data utilized in the recognition of commission revenue, including estimating the total constrained lifetime value of commission revenue and the related cost of revenue and balance sheet accounts, and the Company did not retain sufficient contemporaneous documentation to demonstrate the operation of review controls over commission revenue at a sufficient level of precision. We reviewed the results of our management’s assessment with our Audit Committee.</w:t>
      </w:r>
    </w:p>
    <w:p>
      <w:pPr>
        <w:spacing w:after="0" w:line="172" w:lineRule="exact"/>
        <w:rPr>
          <w:sz w:val="20"/>
          <w:szCs w:val="20"/>
          <w:color w:val="auto"/>
        </w:rPr>
      </w:pPr>
    </w:p>
    <w:p>
      <w:pPr>
        <w:ind w:right="60"/>
        <w:spacing w:after="0"/>
        <w:rPr>
          <w:sz w:val="20"/>
          <w:szCs w:val="20"/>
          <w:color w:val="auto"/>
        </w:rPr>
      </w:pPr>
      <w:r>
        <w:rPr>
          <w:rFonts w:ascii="Arial" w:cs="Arial" w:eastAsia="Arial" w:hAnsi="Arial"/>
          <w:sz w:val="13"/>
          <w:szCs w:val="13"/>
          <w:color w:val="auto"/>
        </w:rPr>
        <w:t>We continue to strengthen our internal control over financial reporting and are committed to ensuring that such controls are designed and operating effectively. We will be implementing process and control improvements to address the above material weakness that include, but are not limited to: i) establishing specific management review procedures to ensure completeness and accuracy of key financial data utilized in the recognition of commission revenue and the contemporaneous documentation of such reviews, ii) providing additional training related to validating the accuracy of data used in key review controls and the level of documentation required, and iii) investing in our corporate infrastructure to ensure adequate technology and resources to support our financial reporting process and internal control framework. During the second quarter of 2022, the Company hired a Chief Actuarial Officer who will be partnering with our data scientists, to bring additional experience and oversight of commissions revenue and its related process and controls.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When fully implemented and operational, we believe the measures described above will remediate the control deficiencies that have led to the material weakness.</w:t>
      </w:r>
    </w:p>
    <w:p>
      <w:pPr>
        <w:spacing w:after="0" w:line="190" w:lineRule="exact"/>
        <w:rPr>
          <w:sz w:val="20"/>
          <w:szCs w:val="20"/>
          <w:color w:val="auto"/>
        </w:rPr>
      </w:pPr>
    </w:p>
    <w:p>
      <w:pPr>
        <w:ind w:right="100"/>
        <w:spacing w:after="0" w:line="309" w:lineRule="auto"/>
        <w:rPr>
          <w:sz w:val="20"/>
          <w:szCs w:val="20"/>
          <w:color w:val="auto"/>
        </w:rPr>
      </w:pPr>
      <w:r>
        <w:rPr>
          <w:rFonts w:ascii="Arial" w:cs="Arial" w:eastAsia="Arial" w:hAnsi="Arial"/>
          <w:sz w:val="12"/>
          <w:szCs w:val="12"/>
          <w:color w:val="auto"/>
        </w:rPr>
        <w:t>Notwithstanding the existence of the material weakness as described above, our management has concluded that the Condensed Consolidated Financial Statements included in this Quarterly Report on Form 10-Q fairly present, in all material respects, our financial position, results of operations and cash flows as of the dates, and for the periods presented, in conformity with U.S. GAAP.</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79"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Except for the material weakness identified above, there were no changes in our internal control over financial reporting identified in management’s evaluation pursuant to Rules 13a-15(d) or 15d-15(d) of the Exchange Act during the quarter ended June 30, 2022 that materially affected, or are reasonably likely to materially affect, our internal control over financial reporting.</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43" w:name="page44"/>
    <w:bookmarkEnd w:id="43"/>
    <w:p>
      <w:pPr>
        <w:jc w:val="center"/>
        <w:spacing w:after="0"/>
        <w:rPr>
          <w:sz w:val="20"/>
          <w:szCs w:val="20"/>
          <w:color w:val="auto"/>
        </w:rPr>
      </w:pPr>
      <w:r>
        <w:rPr>
          <w:rFonts w:ascii="Arial" w:cs="Arial" w:eastAsia="Arial" w:hAnsi="Arial"/>
          <w:sz w:val="13"/>
          <w:szCs w:val="13"/>
          <w:b w:val="1"/>
          <w:bCs w:val="1"/>
          <w:color w:val="0A2299"/>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6985"/>
                    </a:xfrm>
                    <a:prstGeom prst="rect">
                      <a:avLst/>
                    </a:prstGeom>
                    <a:noFill/>
                  </pic:spPr>
                </pic:pic>
              </a:graphicData>
            </a:graphic>
          </wp:anchor>
        </w:drawing>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187960</wp:posOffset>
            </wp:positionV>
            <wp:extent cx="7161530" cy="1079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1. LEGAL PROCEEDINGS.</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Refer to Note 11, “Commitments And Contingencies,” of the Notes to Condensed Consolidated Financial Statements for information about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61530" cy="1079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1A. RISK FACTORS.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operating results may be adversely impacted by factors that impact our estimate of LTV.</w:t>
      </w:r>
    </w:p>
    <w:p>
      <w:pPr>
        <w:spacing w:after="0" w:line="190" w:lineRule="exact"/>
        <w:rPr>
          <w:sz w:val="20"/>
          <w:szCs w:val="20"/>
          <w:color w:val="auto"/>
        </w:rPr>
      </w:pPr>
    </w:p>
    <w:p>
      <w:pPr>
        <w:ind w:right="20"/>
        <w:spacing w:after="0" w:line="233" w:lineRule="auto"/>
        <w:rPr>
          <w:sz w:val="20"/>
          <w:szCs w:val="20"/>
          <w:color w:val="auto"/>
        </w:rPr>
      </w:pPr>
      <w:r>
        <w:rPr>
          <w:rFonts w:ascii="Arial" w:cs="Arial" w:eastAsia="Arial" w:hAnsi="Arial"/>
          <w:sz w:val="13"/>
          <w:szCs w:val="13"/>
          <w:color w:val="auto"/>
        </w:rPr>
        <w:t>We recognize revenue at the time a Submitted Policy becomes an Approved Submission by applying the latest estimated LTV for that product. We estimate commission revenue for each product by using a portfolio approach to a group of approved customers that are organized based on a variety of attributes, which we refer to as “vintages.” We estimate the cash commissions we expect to collect for each approved customer vintage by evaluating various factors, including, but not limited to, commission rates, carriers, estimated average plan duration, the regulatory environment, and historic cancellations of health insurance plans offered by carriers with which we have a relationship. On a quarterly basis, we recompute LTV at a vintage level for all outstanding vintages, review and monitor changes in the data used to estimate LTV as well as the cash received for each vintage as compared to our original estimates. The fluctuations of cash received for each vintage and LTV may be significant and may or may not be indicative of the need to adjust LTVs for prior period vintages. Management analyzes these fluctuations and, to the extent we see changes in our estimates of the cash commission collections that we believe are indicative of an increase or decrease to prior period LTVs, we will adjust LTVs for the affected vintages at the time such determination is made. Changes in LTV may result in an increase or a decrease to revenue and a corresponding increase or decrease to net commissions receivable accordingly.</w:t>
      </w:r>
    </w:p>
    <w:p>
      <w:pPr>
        <w:spacing w:after="0" w:line="165" w:lineRule="exact"/>
        <w:rPr>
          <w:sz w:val="20"/>
          <w:szCs w:val="20"/>
          <w:color w:val="auto"/>
        </w:rPr>
      </w:pPr>
    </w:p>
    <w:p>
      <w:pPr>
        <w:ind w:right="20"/>
        <w:spacing w:after="0" w:line="232" w:lineRule="auto"/>
        <w:rPr>
          <w:sz w:val="20"/>
          <w:szCs w:val="20"/>
          <w:color w:val="auto"/>
        </w:rPr>
      </w:pPr>
      <w:r>
        <w:rPr>
          <w:rFonts w:ascii="Arial" w:cs="Arial" w:eastAsia="Arial" w:hAnsi="Arial"/>
          <w:sz w:val="13"/>
          <w:szCs w:val="13"/>
          <w:color w:val="auto"/>
        </w:rPr>
        <w:t>As we continue to evaluate our LTV estimation models and the process and controls related to the LTV estimation models, including to address the material weakness identified in Item 4 in this Quarterly Report on Form 10-Q and Item 9A “Controls and Procedures” of our 2021 Form 10-K, we have made and will make further changes based on a number of factors and such changes could result in significant further increases or decreases in revenue. LTVs are estimates and are based on a number of assumptions, which include, but are not limited to, estimates of the conversion rates of commissionable Approved Submissions into customers, forecasted average plan duration and forecasted commission rates we expect to receive per approved customer’s plan. These assumptions are based on 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 we estimate LTVs, such as reduced conversion of commissionable Approved Submissions to customers, increased health insurance plan termination or a reduction in the lifetime commission amounts we expect to receive for selling the plan to a customer or other changes could harm our business, operating results and financial condition. We have seen, in the past few quarters, and continue to see some of these negative changes.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spacing w:after="0" w:line="178" w:lineRule="exact"/>
        <w:rPr>
          <w:sz w:val="20"/>
          <w:szCs w:val="20"/>
          <w:color w:val="auto"/>
        </w:rPr>
      </w:pPr>
    </w:p>
    <w:p>
      <w:pPr>
        <w:ind w:right="20"/>
        <w:spacing w:after="0" w:line="233" w:lineRule="auto"/>
        <w:rPr>
          <w:sz w:val="20"/>
          <w:szCs w:val="20"/>
          <w:color w:val="auto"/>
        </w:rPr>
      </w:pPr>
      <w:r>
        <w:rPr>
          <w:rFonts w:ascii="Arial" w:cs="Arial" w:eastAsia="Arial" w:hAnsi="Arial"/>
          <w:sz w:val="13"/>
          <w:szCs w:val="13"/>
          <w:color w:val="auto"/>
        </w:rPr>
        <w:t>The forecasted average plan duration is another important factor in our estimation of LTV. We receive commissions from carriers for policies sold through us that go on to become customers of those carriers. When one of these plans is canceled, or if we otherwise do not remain the agent on the policy, we no longer receive the related commission payment. Our forecasted average plan duration and health insurance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 We have seen pressure, within the industry, on plan duration based upon increased customer churn. Additionally, from time to time, carriers may stop offering products in a geographic area. While in many cases, carriers will still support existing customers in those geographic areas, because they are no longer offering new plans, the retention of those customers may be adversely impacted, thereby impacting our expected LTVs.</w:t>
      </w:r>
    </w:p>
    <w:p>
      <w:pPr>
        <w:spacing w:after="0" w:line="172" w:lineRule="exact"/>
        <w:rPr>
          <w:sz w:val="20"/>
          <w:szCs w:val="20"/>
          <w:color w:val="auto"/>
        </w:rPr>
      </w:pPr>
    </w:p>
    <w:p>
      <w:pPr>
        <w:ind w:right="320"/>
        <w:spacing w:after="0" w:line="244" w:lineRule="auto"/>
        <w:rPr>
          <w:sz w:val="20"/>
          <w:szCs w:val="20"/>
          <w:color w:val="auto"/>
        </w:rPr>
      </w:pPr>
      <w:r>
        <w:rPr>
          <w:rFonts w:ascii="Arial" w:cs="Arial" w:eastAsia="Arial" w:hAnsi="Arial"/>
          <w:sz w:val="13"/>
          <w:szCs w:val="13"/>
          <w:color w:val="auto"/>
        </w:rPr>
        <w:t>Commission rates are also a factor in estimating our LTVs, which are impacted by a variety of factors, including the particular health insurance plans chosen by our customers, the carriers offering those plans, our customers’ states of residence, the laws and regulations in those jurisdictions, the average premiums of plans purchased through us and healthcare reform. Any reduction in our average commission revenue per customer could harm our business, operating results and financial condition.</w:t>
      </w:r>
    </w:p>
    <w:p>
      <w:pPr>
        <w:spacing w:after="0" w:line="159" w:lineRule="exact"/>
        <w:rPr>
          <w:sz w:val="20"/>
          <w:szCs w:val="20"/>
          <w:color w:val="auto"/>
        </w:rPr>
      </w:pPr>
    </w:p>
    <w:p>
      <w:pPr>
        <w:ind w:right="500"/>
        <w:spacing w:after="0" w:line="259" w:lineRule="auto"/>
        <w:rPr>
          <w:sz w:val="20"/>
          <w:szCs w:val="20"/>
          <w:color w:val="auto"/>
        </w:rPr>
      </w:pPr>
      <w:r>
        <w:rPr>
          <w:rFonts w:ascii="Arial" w:cs="Arial" w:eastAsia="Arial" w:hAnsi="Arial"/>
          <w:sz w:val="13"/>
          <w:szCs w:val="13"/>
          <w:b w:val="1"/>
          <w:bCs w:val="1"/>
          <w:i w:val="1"/>
          <w:iCs w:val="1"/>
          <w:color w:val="auto"/>
        </w:rPr>
        <w:t>Our management and independent auditors have identified a material weakness in our internal controls over financial reporting, and we may be unable to develop, implement and maintain appropriate controls in future periods, which may lead to errors or omissions in our financial statements.</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We are subject to the NASDAQ rules and the rules and regulations established from time to time by the SEC. These rules and regulations require, among other things, that we establish and periodically evaluate procedures with respect to our internal control over financial reporting. In addition, the Sarbanes-Oxley Act and related rules and regulations require that management report annually on the effectiveness of our internal control over financial reporting and assess the effectiveness of our disclosure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41</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6" w:right="319" w:bottom="1440" w:gutter="0" w:footer="0" w:header="0"/>
        </w:sectPr>
      </w:pPr>
    </w:p>
    <w:bookmarkStart w:id="44" w:name="page45"/>
    <w:bookmarkEnd w:id="44"/>
    <w:p>
      <w:pPr>
        <w:ind w:right="540"/>
        <w:spacing w:after="0" w:line="249" w:lineRule="auto"/>
        <w:rPr>
          <w:sz w:val="20"/>
          <w:szCs w:val="20"/>
          <w:color w:val="auto"/>
        </w:rPr>
      </w:pPr>
      <w:r>
        <w:rPr>
          <w:rFonts w:ascii="Arial" w:cs="Arial" w:eastAsia="Arial" w:hAnsi="Arial"/>
          <w:sz w:val="13"/>
          <w:szCs w:val="13"/>
          <w:color w:val="auto"/>
        </w:rPr>
        <w:t>controls and procedures on a quarterly basis. Maintaining and adapting our internal controls is expensive and is likely to place a considerable strain on our financial and management systems, processes and controls, as well as on our personnel.</w:t>
      </w:r>
    </w:p>
    <w:p>
      <w:pPr>
        <w:spacing w:after="0" w:line="167" w:lineRule="exact"/>
        <w:rPr>
          <w:sz w:val="20"/>
          <w:szCs w:val="20"/>
          <w:color w:val="auto"/>
        </w:rPr>
      </w:pPr>
    </w:p>
    <w:p>
      <w:pPr>
        <w:ind w:right="120"/>
        <w:spacing w:after="0" w:line="232" w:lineRule="auto"/>
        <w:rPr>
          <w:sz w:val="20"/>
          <w:szCs w:val="20"/>
          <w:color w:val="auto"/>
        </w:rPr>
      </w:pPr>
      <w:r>
        <w:rPr>
          <w:rFonts w:ascii="Arial" w:cs="Arial" w:eastAsia="Arial" w:hAnsi="Arial"/>
          <w:sz w:val="13"/>
          <w:szCs w:val="13"/>
          <w:color w:val="auto"/>
        </w:rPr>
        <w:t>As described in Item 9A “Controls and Procedures” of our 2021 Form 10-K, and Item 4 in this Quarterly Report on Form 10-Q, we concluded that our disclosure controls and procedures were not effective as of December 31, 2021 and June 30, 2022, and that we had, as of such dates, a material weakness in our internal control over financial reporting related to the ineffective design and operation of process level controls that addressed the completeness and accuracy of key financial data utilized in the recognition of commission revenue, including estimating the total constrained lifetime value of commission revenue and the related cost of revenue and balance sheet accounts, and the Company did not retain sufficient contemporaneous documentation to demonstrate the operation of review controls over commission revenue at a sufficient level of precision. A material weakness is a deficiency, or a combination of deficiencies, in internal control over financial reporting such that there is a reasonable possibility that a material misstatement of our annual or interim consolidated financial statements would not be prevented or detected on a timely basis. This material weakness identified in Item 9A of our 2021 Form 10-K did not result in any adjustments or restatements of our audited and unaudited consolidated financial statements or disclosures for any prior period previously reported by the Company. However, until the material weakness is remediated and our associated disclosure controls and procedures improved, or if additional material weaknesses or significant deficiencies in our internal control over financial reporting occur in the future, our future consolidated financial statements or other information filed with the SEC may contain material misstatements.</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We are evaluating and developing a plan, which will include the implementation of appropriate processes and controls to remediate the material weakness described above. While we work towards the design and implementation of these processes and controls, we may rely significantly on manual procedures to assist us with meeting the objectives otherwise fulfilled by an effective control environment. The implementation of new procedures and controls could be costly and distract management from other activities. Prior to the complete remediation of this material weakness, there remains a risk that the transitional controls on which we currently rely will fail to be sufficiently effective, which could result in errors in our consolidated financial statements. If the new controls being implemented to address the material weakness and to strengthen the overall internal control are not designed or do not operate effectively, if we are unsuccessful in implementing or following these new processes or if we are otherwise unable to remediate this material weakness, it may result in untimely or inaccurate reporting of our financial condition or results of operations.</w:t>
      </w:r>
    </w:p>
    <w:p>
      <w:pPr>
        <w:spacing w:after="0" w:line="164" w:lineRule="exact"/>
        <w:rPr>
          <w:sz w:val="20"/>
          <w:szCs w:val="20"/>
          <w:color w:val="auto"/>
        </w:rPr>
      </w:pPr>
    </w:p>
    <w:p>
      <w:pPr>
        <w:ind w:right="60"/>
        <w:spacing w:after="0" w:line="237" w:lineRule="auto"/>
        <w:rPr>
          <w:sz w:val="20"/>
          <w:szCs w:val="20"/>
          <w:color w:val="auto"/>
        </w:rPr>
      </w:pPr>
      <w:r>
        <w:rPr>
          <w:rFonts w:ascii="Arial" w:cs="Arial" w:eastAsia="Arial" w:hAnsi="Arial"/>
          <w:sz w:val="13"/>
          <w:szCs w:val="13"/>
          <w:color w:val="auto"/>
        </w:rPr>
        <w:t>In addition, although we review and evaluate internal control systems to allow management to report on the sufficiency of our internal controls, we cannot assure you that we will not discover additional weaknesses in our internal control over financial reporting in the future. Any such additional weakness or failure to remediate the existing weakness could materially adversely affect our financial condition or ability to comply with applicable financial reporting requirements, which could result in violations of applicable securities laws and NASDAQ listing requirements, subject us to litigation and investigations, negatively affect investor confidence in our financial statements, and adversely impact our stock price and ability to access capital markets.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3"/>
          <w:szCs w:val="13"/>
          <w:b w:val="1"/>
          <w:bCs w:val="1"/>
          <w:i w:val="1"/>
          <w:iCs w:val="1"/>
          <w:color w:val="auto"/>
        </w:rPr>
        <w:t>If our common stock’s closing bid price continues to remain below the minimum price of $1.00 per share, or if we fail to satisfy the NASDAQ rule concerning the composition of our audit committee, our common stock may be delisted from the NASDAQ.</w:t>
      </w:r>
    </w:p>
    <w:p>
      <w:pPr>
        <w:spacing w:after="0" w:line="155" w:lineRule="exact"/>
        <w:rPr>
          <w:sz w:val="20"/>
          <w:szCs w:val="20"/>
          <w:color w:val="auto"/>
        </w:rPr>
      </w:pPr>
    </w:p>
    <w:p>
      <w:pPr>
        <w:ind w:right="60"/>
        <w:spacing w:after="0" w:line="234" w:lineRule="auto"/>
        <w:rPr>
          <w:sz w:val="20"/>
          <w:szCs w:val="20"/>
          <w:color w:val="auto"/>
        </w:rPr>
      </w:pPr>
      <w:r>
        <w:rPr>
          <w:rFonts w:ascii="Arial" w:cs="Arial" w:eastAsia="Arial" w:hAnsi="Arial"/>
          <w:sz w:val="13"/>
          <w:szCs w:val="13"/>
          <w:color w:val="auto"/>
        </w:rPr>
        <w:t>Recently, the closing price of our common stock fell below $1.00 per share. If our common stock were to continue to trade below $1.00 per share, which is the minimum closing bid price required for continued listing on NASDAQ, for 30 consecutive business days, we will receive a notification letter from NASDAQ and will have 180 calendar days (subject to extension in some circumstances) to regain compliance with the minimum bid price rule (“Minimum Bid Price Rule”). To regain compliance, the closing bid price of our common stock must be at least $1.00 per share for a minimum of ten consecutive business days (or such longer period of time as the NASDAQ may require in some circumstances). Should we fail to regain compliance with the Minimum Bid Price Rule, we may consider a reverse stock split (or combination) of our outstanding common stock.</w:t>
      </w:r>
    </w:p>
    <w:p>
      <w:pPr>
        <w:spacing w:after="0" w:line="173"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On April 29, 2022, we received notification from NASDAQ regarding our noncompliance with NASDAQ Listing Rule 5605(c)(2) (“Rule 5605”), which requires that our audit committee be comprised of a minimum of three independent directors. Our noncompliance occurred as the result of the resignation of one of our directors, Anita Pramoda, who was one of the three members of our audit committee. In accordance with NASDAQ Listing Rule 5605(c)(4), we have a cure period in order to regain compliance with Rule 5605 lasting until the date that is 180 days following the event that caused the vacancy. We intend to appoint a third independent director to our Board of Directors and audit committee, and thereby regain compliance Rule 5605, prior to the end of the cure period.</w:t>
      </w:r>
    </w:p>
    <w:p>
      <w:pPr>
        <w:spacing w:after="0" w:line="163" w:lineRule="exact"/>
        <w:rPr>
          <w:sz w:val="20"/>
          <w:szCs w:val="20"/>
          <w:color w:val="auto"/>
        </w:rPr>
      </w:pPr>
    </w:p>
    <w:p>
      <w:pPr>
        <w:ind w:right="20"/>
        <w:spacing w:after="0" w:line="234" w:lineRule="auto"/>
        <w:rPr>
          <w:sz w:val="20"/>
          <w:szCs w:val="20"/>
          <w:color w:val="auto"/>
        </w:rPr>
      </w:pPr>
      <w:r>
        <w:rPr>
          <w:rFonts w:ascii="Arial" w:cs="Arial" w:eastAsia="Arial" w:hAnsi="Arial"/>
          <w:sz w:val="13"/>
          <w:szCs w:val="13"/>
          <w:color w:val="auto"/>
        </w:rPr>
        <w:t>If we fail to effect a reverse stock split which allows us to regain compliance with the Minimum Bid Price Rule or otherwise fail to achieve compliance with the Minimum Bid Price Rule, or if we fail to regain compliance with Rule 5605 prior to the expiration of the cure period, our stock may be delisted. Delisting from the NASDAQ Global Select Market or any NASDAQ market could make trading our common stock more difficult for investors, potentially leading to declines in our share price and liquidity. In addition, without a NASDAQ market listing, stockholders may have a difficult time getting a quote for the sale or purchase of our stock, the sale or purchase of our stock would likely be made more difficult and the trading volume and liquidity of our stock could decline. Delisting from NASDAQ could also result in negative publicity and make it more difficult for us to raise additional capital. The absence of such a listing may adversely affect the acceptance of our common stock as currency or the value accorded by other parties. Further, if we are delisted, we would also incur additional costs under state blue sky laws in connection with any sales of our securities. These requirements could severely limit the market liquidity of our common stock and the ability of our stockholders to sell our common stock in the secondary market. We cannot assure you that our common stock, if delisted from NASDAQ, will be listed on another national securities exchange or quoted on an over-the counter quotation system. If our common stock is delisted, it may come within the definition of “penny stock” as defined in the Securities Exchange Act of 1934 as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42</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5" w:name="page46"/>
    <w:bookmarkEnd w:id="45"/>
    <w:p>
      <w:pPr>
        <w:ind w:right="220"/>
        <w:spacing w:after="0" w:line="249" w:lineRule="auto"/>
        <w:rPr>
          <w:sz w:val="20"/>
          <w:szCs w:val="20"/>
          <w:color w:val="auto"/>
        </w:rPr>
      </w:pPr>
      <w:r>
        <w:rPr>
          <w:rFonts w:ascii="Arial" w:cs="Arial" w:eastAsia="Arial" w:hAnsi="Arial"/>
          <w:sz w:val="13"/>
          <w:szCs w:val="13"/>
          <w:color w:val="auto"/>
        </w:rPr>
        <w:t>amended (the “Exchange Act”) and would be covered by Rule 15g-9 of the Exchange Act. That Rule imposes additional sales practice requirements on broker-dealers who sell securities to persons other than established customers and accredited investors.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realize the benefits we expect from our strategic cash flow optimization and other cash management initiatives.</w:t>
      </w:r>
    </w:p>
    <w:p>
      <w:pPr>
        <w:spacing w:after="0" w:line="179" w:lineRule="exact"/>
        <w:rPr>
          <w:sz w:val="20"/>
          <w:szCs w:val="20"/>
          <w:color w:val="auto"/>
        </w:rPr>
      </w:pPr>
    </w:p>
    <w:p>
      <w:pPr>
        <w:ind w:right="100"/>
        <w:spacing w:after="0" w:line="232" w:lineRule="auto"/>
        <w:rPr>
          <w:sz w:val="20"/>
          <w:szCs w:val="20"/>
          <w:color w:val="auto"/>
        </w:rPr>
      </w:pPr>
      <w:r>
        <w:rPr>
          <w:rFonts w:ascii="Arial" w:cs="Arial" w:eastAsia="Arial" w:hAnsi="Arial"/>
          <w:sz w:val="13"/>
          <w:szCs w:val="13"/>
          <w:color w:val="auto"/>
        </w:rPr>
        <w:t>We are pursuing initiatives to reduce costs, increase effectiveness, and optimize cash flow. As part of those initiatives, in August 2022, we began the implementation of a reduction in force that will reduce the number of our employees by approximately 24%. The workforce reduction may result in the loss of institutional knowledge and expertise and the reallocation and combination of certain roles and responsibilities across the organization, all of which could adversely affect our business, financial condition and results of operations. Further, the restructuring and possible additional cost containment measures may yield unintended consequences, such as attrition beyond our intended workforce reduction and reduced employee morale. Going forward, we also intend to focus our efforts on a reduction in infrastructure costs, including with respect to our technology platform and underlying network infrastructures, which may have a negative impact on our business. We may not realize all of the anticipated cost savings or other benefits from such initiatives and the initiatives may have other effects, such as a reduction in revenue. Other events and circumstances, such as financial or strategic difficulties, delays, or unexpected costs, may also adversely impact our ability to realize all of the anticipated cost savings or other benefits, or cause us not to realize such cost savings or other benefits on the expected timetable. If we are unable to realize the anticipated benefits, our ability to fund other initiatives may be adversely affected. Finally, the complexity of the implementation of the initiatives may require a substantial amount of management and operational resources. Our management team must successfully execute the administrative and operational changes necessary to achieve the anticipated benefits of the initiatives. These and related demands on our resources may divert the organization’s attention from other business issues, have adverse effects on existing business relationships with suppliers and customers, and impact employee morale. Any failure to implement these initiatives in accordance with our plans could adversely affect our business, financial condition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a “smaller reporting company” and the reduced disclosure requirements applicable to smaller reporting companies may make our common stock less attractive to investors.</w:t>
      </w:r>
    </w:p>
    <w:p>
      <w:pPr>
        <w:spacing w:after="0" w:line="179" w:lineRule="exact"/>
        <w:rPr>
          <w:sz w:val="20"/>
          <w:szCs w:val="20"/>
          <w:color w:val="auto"/>
        </w:rPr>
      </w:pPr>
    </w:p>
    <w:p>
      <w:pPr>
        <w:ind w:right="60"/>
        <w:spacing w:after="0" w:line="237" w:lineRule="auto"/>
        <w:rPr>
          <w:sz w:val="20"/>
          <w:szCs w:val="20"/>
          <w:color w:val="auto"/>
        </w:rPr>
      </w:pPr>
      <w:r>
        <w:rPr>
          <w:rFonts w:ascii="Arial" w:cs="Arial" w:eastAsia="Arial" w:hAnsi="Arial"/>
          <w:sz w:val="13"/>
          <w:szCs w:val="13"/>
          <w:color w:val="auto"/>
        </w:rPr>
        <w:t>We are considered a “smaller reporting company.” We are therefore entitled to rely on certain reduced disclosure requirements, such as an exemption from providing executive compensation information. We are also exempt from the requirement to obtain an external audit on the effectiveness of internal control over financial reporting provided in Section 404(b) of the Sarbanes-Oxley Act. 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With the exception of the risk factors noted above, there have been no material changes to the risk factors set forth in our 2021 Form 10-K. Before investing in our Class A common stock, we recommend that investors carefully consider the risks described in the 2021 Form 10-K filed with the SEC, including those under the heading “Item 1A. Risk Factors.” Realization of any of these risks could have a material adverse effect on our financial condition or results of operations. Additional risks and uncertainties not currently known to us or that we deem to be immaterial could also materially adversely affect our business,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161530" cy="1079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2. UNREGISTERED SALES OF EQUITY SECURITIES AND USE OF PROCEEDS.</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61530" cy="1079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3. DEFAULTS UPON SENIOR SECURITIES.</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61530" cy="1079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4. MINE SAFETY DISCLOSURES.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61530" cy="1079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5.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6" w:name="page47"/>
    <w:bookmarkEnd w:id="46"/>
    <w:p>
      <w:pPr>
        <w:ind w:left="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1079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t>ITEM 6. EXHIBITS.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Index</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98"/>
              </w:rPr>
              <w:t>Exhibit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23"/>
          </w:tcPr>
          <w:p>
            <w:pPr>
              <w:ind w:left="660"/>
              <w:spacing w:after="0"/>
              <w:rPr>
                <w:sz w:val="20"/>
                <w:szCs w:val="20"/>
                <w:color w:val="auto"/>
              </w:rPr>
            </w:pPr>
            <w:r>
              <w:rPr>
                <w:rFonts w:ascii="Arial" w:cs="Arial" w:eastAsia="Arial" w:hAnsi="Arial"/>
                <w:sz w:val="11"/>
                <w:szCs w:val="11"/>
                <w:b w:val="1"/>
                <w:bCs w:val="1"/>
                <w:color w:val="auto"/>
              </w:rPr>
              <w:t>Description</w:t>
            </w:r>
          </w:p>
        </w:tc>
      </w:tr>
      <w:tr>
        <w:trPr>
          <w:trHeight w:val="134"/>
        </w:trPr>
        <w:tc>
          <w:tcPr>
            <w:tcW w:w="1040" w:type="dxa"/>
            <w:vAlign w:val="bottom"/>
          </w:tcPr>
          <w:p>
            <w:pPr>
              <w:jc w:val="center"/>
              <w:spacing w:after="0"/>
              <w:rPr>
                <w:sz w:val="20"/>
                <w:szCs w:val="20"/>
                <w:color w:val="auto"/>
              </w:rPr>
            </w:pPr>
            <w:r>
              <w:rPr>
                <w:rFonts w:ascii="Arial" w:cs="Arial" w:eastAsia="Arial" w:hAnsi="Arial"/>
                <w:sz w:val="11"/>
                <w:szCs w:val="11"/>
                <w:color w:val="auto"/>
              </w:rPr>
              <w:t>3.1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960" w:type="dxa"/>
            <w:vAlign w:val="bottom"/>
            <w:gridSpan w:val="31"/>
          </w:tcPr>
          <w:p>
            <w:pPr>
              <w:spacing w:after="0"/>
              <w:rPr>
                <w:rFonts w:ascii="Arial" w:cs="Arial" w:eastAsia="Arial" w:hAnsi="Arial"/>
                <w:sz w:val="11"/>
                <w:szCs w:val="11"/>
                <w:color w:val="0000FF"/>
              </w:rPr>
            </w:pPr>
            <w:hyperlink r:id="rId169">
              <w:r>
                <w:rPr>
                  <w:rFonts w:ascii="Arial" w:cs="Arial" w:eastAsia="Arial" w:hAnsi="Arial"/>
                  <w:sz w:val="11"/>
                  <w:szCs w:val="11"/>
                  <w:color w:val="0000FF"/>
                </w:rPr>
                <w:t>Amended and Restated Certificate of Incorporation of GoHealth, Inc.</w:t>
              </w:r>
            </w:hyperlink>
          </w:p>
        </w:tc>
      </w:tr>
      <w:tr>
        <w:trPr>
          <w:trHeight w:val="160"/>
        </w:trPr>
        <w:tc>
          <w:tcPr>
            <w:tcW w:w="1040" w:type="dxa"/>
            <w:vAlign w:val="bottom"/>
          </w:tcPr>
          <w:p>
            <w:pPr>
              <w:jc w:val="center"/>
              <w:spacing w:after="0"/>
              <w:rPr>
                <w:sz w:val="20"/>
                <w:szCs w:val="20"/>
                <w:color w:val="auto"/>
              </w:rPr>
            </w:pPr>
            <w:r>
              <w:rPr>
                <w:rFonts w:ascii="Arial" w:cs="Arial" w:eastAsia="Arial" w:hAnsi="Arial"/>
                <w:sz w:val="11"/>
                <w:szCs w:val="11"/>
                <w:color w:val="auto"/>
              </w:rPr>
              <w:t>3.2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14"/>
          </w:tcPr>
          <w:p>
            <w:pPr>
              <w:spacing w:after="0"/>
              <w:rPr>
                <w:rFonts w:ascii="Arial" w:cs="Arial" w:eastAsia="Arial" w:hAnsi="Arial"/>
                <w:sz w:val="11"/>
                <w:szCs w:val="11"/>
                <w:color w:val="0000FF"/>
              </w:rPr>
            </w:pPr>
            <w:hyperlink r:id="rId170">
              <w:r>
                <w:rPr>
                  <w:rFonts w:ascii="Arial" w:cs="Arial" w:eastAsia="Arial" w:hAnsi="Arial"/>
                  <w:sz w:val="11"/>
                  <w:szCs w:val="11"/>
                  <w:color w:val="0000FF"/>
                </w:rPr>
                <w:t>Amended and Restated Bylaws of GoHealth, Inc.</w:t>
              </w:r>
            </w:hyperlink>
          </w:p>
        </w:tc>
        <w:tc>
          <w:tcPr>
            <w:tcW w:w="1540" w:type="dxa"/>
            <w:vAlign w:val="bottom"/>
            <w:gridSpan w:val="17"/>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40" w:type="dxa"/>
            <w:vAlign w:val="bottom"/>
          </w:tcPr>
          <w:p>
            <w:pPr>
              <w:jc w:val="center"/>
              <w:spacing w:after="0"/>
              <w:rPr>
                <w:sz w:val="20"/>
                <w:szCs w:val="20"/>
                <w:color w:val="auto"/>
              </w:rPr>
            </w:pPr>
            <w:r>
              <w:rPr>
                <w:rFonts w:ascii="Arial" w:cs="Arial" w:eastAsia="Arial" w:hAnsi="Arial"/>
                <w:sz w:val="11"/>
                <w:szCs w:val="11"/>
                <w:color w:val="auto"/>
              </w:rPr>
              <w:t>4.1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bottom w:val="single" w:sz="8" w:color="0000FF"/>
            </w:tcBorders>
            <w:gridSpan w:val="16"/>
          </w:tcPr>
          <w:p>
            <w:pPr>
              <w:spacing w:after="0"/>
              <w:rPr>
                <w:rFonts w:ascii="Arial" w:cs="Arial" w:eastAsia="Arial" w:hAnsi="Arial"/>
                <w:sz w:val="11"/>
                <w:szCs w:val="11"/>
                <w:color w:val="0000FF"/>
              </w:rPr>
            </w:pPr>
            <w:hyperlink r:id="rId171">
              <w:r>
                <w:rPr>
                  <w:rFonts w:ascii="Arial" w:cs="Arial" w:eastAsia="Arial" w:hAnsi="Arial"/>
                  <w:sz w:val="11"/>
                  <w:szCs w:val="11"/>
                  <w:color w:val="0000FF"/>
                </w:rPr>
                <w:t>Specimen Stock Certificate evidencing the shares of Class A common stock.</w:t>
              </w:r>
            </w:hyperlink>
          </w:p>
        </w:tc>
        <w:tc>
          <w:tcPr>
            <w:tcW w:w="1120" w:type="dxa"/>
            <w:vAlign w:val="bottom"/>
            <w:gridSpan w:val="15"/>
          </w:tcPr>
          <w:p>
            <w:pPr>
              <w:spacing w:after="0"/>
              <w:rPr>
                <w:sz w:val="13"/>
                <w:szCs w:val="13"/>
                <w:color w:val="auto"/>
              </w:rPr>
            </w:pPr>
          </w:p>
        </w:tc>
      </w:tr>
      <w:tr>
        <w:trPr>
          <w:trHeight w:val="256"/>
        </w:trPr>
        <w:tc>
          <w:tcPr>
            <w:tcW w:w="1040" w:type="dxa"/>
            <w:vAlign w:val="bottom"/>
          </w:tcPr>
          <w:p>
            <w:pPr>
              <w:jc w:val="center"/>
              <w:spacing w:after="0"/>
              <w:rPr>
                <w:sz w:val="20"/>
                <w:szCs w:val="20"/>
                <w:color w:val="auto"/>
              </w:rPr>
            </w:pPr>
            <w:r>
              <w:rPr>
                <w:rFonts w:ascii="Arial" w:cs="Arial" w:eastAsia="Arial" w:hAnsi="Arial"/>
                <w:sz w:val="11"/>
                <w:szCs w:val="11"/>
                <w:color w:val="auto"/>
              </w:rPr>
              <w:t>10.1#</w:t>
            </w:r>
          </w:p>
        </w:tc>
        <w:tc>
          <w:tcPr>
            <w:tcW w:w="60" w:type="dxa"/>
            <w:vAlign w:val="bottom"/>
          </w:tcPr>
          <w:p>
            <w:pPr>
              <w:spacing w:after="0"/>
              <w:rPr>
                <w:sz w:val="22"/>
                <w:szCs w:val="22"/>
                <w:color w:val="auto"/>
              </w:rPr>
            </w:pPr>
          </w:p>
        </w:tc>
        <w:tc>
          <w:tcPr>
            <w:tcW w:w="4840" w:type="dxa"/>
            <w:vAlign w:val="bottom"/>
            <w:tcBorders>
              <w:bottom w:val="single" w:sz="8" w:color="0000FF"/>
            </w:tcBorders>
            <w:gridSpan w:val="28"/>
          </w:tcPr>
          <w:p>
            <w:pPr>
              <w:spacing w:after="0"/>
              <w:rPr>
                <w:sz w:val="20"/>
                <w:szCs w:val="20"/>
                <w:color w:val="auto"/>
              </w:rPr>
            </w:pPr>
            <w:r>
              <w:rPr>
                <w:rFonts w:ascii="Arial" w:cs="Arial" w:eastAsia="Arial" w:hAnsi="Arial"/>
                <w:sz w:val="11"/>
                <w:szCs w:val="11"/>
                <w:color w:val="0000FF"/>
              </w:rPr>
              <w:t>Employment Agreement, dated June 3, 2022, by and among GoHealth, Inc., GoHealth Holdings,</w:t>
            </w:r>
          </w:p>
        </w:tc>
        <w:tc>
          <w:tcPr>
            <w:tcW w:w="160" w:type="dxa"/>
            <w:vAlign w:val="bottom"/>
            <w:gridSpan w:val="5"/>
          </w:tcPr>
          <w:p>
            <w:pPr>
              <w:spacing w:after="0"/>
              <w:rPr>
                <w:sz w:val="22"/>
                <w:szCs w:val="22"/>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0" w:type="dxa"/>
            <w:vAlign w:val="bottom"/>
            <w:gridSpan w:val="33"/>
          </w:tcPr>
          <w:p>
            <w:pPr>
              <w:spacing w:after="0" w:line="118" w:lineRule="exact"/>
              <w:rPr>
                <w:sz w:val="20"/>
                <w:szCs w:val="20"/>
                <w:color w:val="auto"/>
              </w:rPr>
            </w:pPr>
            <w:r>
              <w:rPr>
                <w:rFonts w:ascii="Arial" w:cs="Arial" w:eastAsia="Arial" w:hAnsi="Arial"/>
                <w:sz w:val="11"/>
                <w:szCs w:val="11"/>
                <w:color w:val="0000FF"/>
              </w:rPr>
              <w:t>LLC, and Vijay Kotte</w:t>
            </w: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40" w:type="dxa"/>
            <w:vAlign w:val="bottom"/>
          </w:tcPr>
          <w:p>
            <w:pPr>
              <w:jc w:val="center"/>
              <w:spacing w:after="0"/>
              <w:rPr>
                <w:sz w:val="20"/>
                <w:szCs w:val="20"/>
                <w:color w:val="auto"/>
              </w:rPr>
            </w:pPr>
            <w:r>
              <w:rPr>
                <w:rFonts w:ascii="Arial" w:cs="Arial" w:eastAsia="Arial" w:hAnsi="Arial"/>
                <w:sz w:val="11"/>
                <w:szCs w:val="11"/>
                <w:color w:val="auto"/>
              </w:rPr>
              <w:t>10.2#</w:t>
            </w:r>
          </w:p>
        </w:tc>
        <w:tc>
          <w:tcPr>
            <w:tcW w:w="60" w:type="dxa"/>
            <w:vAlign w:val="bottom"/>
          </w:tcPr>
          <w:p>
            <w:pPr>
              <w:spacing w:after="0"/>
              <w:rPr>
                <w:sz w:val="13"/>
                <w:szCs w:val="13"/>
                <w:color w:val="auto"/>
              </w:rPr>
            </w:pPr>
          </w:p>
        </w:tc>
        <w:tc>
          <w:tcPr>
            <w:tcW w:w="4840" w:type="dxa"/>
            <w:vAlign w:val="bottom"/>
            <w:tcBorders>
              <w:bottom w:val="single" w:sz="8" w:color="0000FF"/>
            </w:tcBorders>
            <w:gridSpan w:val="28"/>
          </w:tcPr>
          <w:p>
            <w:pPr>
              <w:spacing w:after="0"/>
              <w:rPr>
                <w:sz w:val="20"/>
                <w:szCs w:val="20"/>
                <w:color w:val="auto"/>
              </w:rPr>
            </w:pPr>
            <w:r>
              <w:rPr>
                <w:rFonts w:ascii="Arial" w:cs="Arial" w:eastAsia="Arial" w:hAnsi="Arial"/>
                <w:sz w:val="11"/>
                <w:szCs w:val="11"/>
                <w:color w:val="0000FF"/>
              </w:rPr>
              <w:t>Employment Agreement, dated June 3, 2022, by and among GoHealth, Inc., GoHealth Holdings,</w:t>
            </w:r>
          </w:p>
        </w:tc>
        <w:tc>
          <w:tcPr>
            <w:tcW w:w="160" w:type="dxa"/>
            <w:vAlign w:val="bottom"/>
            <w:gridSpan w:val="5"/>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Borders>
              <w:bottom w:val="single" w:sz="8" w:color="0000FF"/>
            </w:tcBorders>
            <w:gridSpan w:val="8"/>
          </w:tcPr>
          <w:p>
            <w:pPr>
              <w:spacing w:after="0" w:line="118" w:lineRule="exact"/>
              <w:rPr>
                <w:sz w:val="20"/>
                <w:szCs w:val="20"/>
                <w:color w:val="auto"/>
              </w:rPr>
            </w:pPr>
            <w:r>
              <w:rPr>
                <w:rFonts w:ascii="Arial" w:cs="Arial" w:eastAsia="Arial" w:hAnsi="Arial"/>
                <w:sz w:val="11"/>
                <w:szCs w:val="11"/>
                <w:color w:val="0000FF"/>
              </w:rPr>
              <w:t>LLC, and Jason Schulz</w:t>
            </w:r>
          </w:p>
        </w:tc>
        <w:tc>
          <w:tcPr>
            <w:tcW w:w="3840" w:type="dxa"/>
            <w:vAlign w:val="bottom"/>
            <w:gridSpan w:val="25"/>
          </w:tcPr>
          <w:p>
            <w:pPr>
              <w:spacing w:after="0"/>
              <w:rPr>
                <w:sz w:val="10"/>
                <w:szCs w:val="10"/>
                <w:color w:val="auto"/>
              </w:rPr>
            </w:pPr>
          </w:p>
        </w:tc>
      </w:tr>
      <w:tr>
        <w:trPr>
          <w:trHeight w:val="160"/>
        </w:trPr>
        <w:tc>
          <w:tcPr>
            <w:tcW w:w="1040" w:type="dxa"/>
            <w:vAlign w:val="bottom"/>
          </w:tcPr>
          <w:p>
            <w:pPr>
              <w:jc w:val="center"/>
              <w:spacing w:after="0"/>
              <w:rPr>
                <w:sz w:val="20"/>
                <w:szCs w:val="20"/>
                <w:color w:val="auto"/>
              </w:rPr>
            </w:pPr>
            <w:r>
              <w:rPr>
                <w:rFonts w:ascii="Arial" w:cs="Arial" w:eastAsia="Arial" w:hAnsi="Arial"/>
                <w:sz w:val="11"/>
                <w:szCs w:val="11"/>
                <w:color w:val="auto"/>
              </w:rPr>
              <w:t>10.3#</w:t>
            </w:r>
          </w:p>
        </w:tc>
        <w:tc>
          <w:tcPr>
            <w:tcW w:w="60" w:type="dxa"/>
            <w:vAlign w:val="bottom"/>
          </w:tcPr>
          <w:p>
            <w:pPr>
              <w:spacing w:after="0"/>
              <w:rPr>
                <w:sz w:val="13"/>
                <w:szCs w:val="13"/>
                <w:color w:val="auto"/>
              </w:rPr>
            </w:pPr>
          </w:p>
        </w:tc>
        <w:tc>
          <w:tcPr>
            <w:tcW w:w="4780" w:type="dxa"/>
            <w:vAlign w:val="bottom"/>
            <w:tcBorders>
              <w:bottom w:val="single" w:sz="8" w:color="0000FF"/>
            </w:tcBorders>
            <w:gridSpan w:val="25"/>
          </w:tcPr>
          <w:p>
            <w:pPr>
              <w:spacing w:after="0"/>
              <w:rPr>
                <w:sz w:val="20"/>
                <w:szCs w:val="20"/>
                <w:color w:val="auto"/>
              </w:rPr>
            </w:pPr>
            <w:r>
              <w:rPr>
                <w:rFonts w:ascii="Arial" w:cs="Arial" w:eastAsia="Arial" w:hAnsi="Arial"/>
                <w:sz w:val="11"/>
                <w:szCs w:val="11"/>
                <w:color w:val="0000FF"/>
              </w:rPr>
              <w:t>Amended and Restated Employment Agreement, dated June 3, 2022, by and among GoHealth,</w:t>
            </w:r>
          </w:p>
        </w:tc>
        <w:tc>
          <w:tcPr>
            <w:tcW w:w="220" w:type="dxa"/>
            <w:vAlign w:val="bottom"/>
            <w:gridSpan w:val="8"/>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0" w:type="dxa"/>
            <w:vAlign w:val="bottom"/>
            <w:gridSpan w:val="33"/>
          </w:tcPr>
          <w:p>
            <w:pPr>
              <w:spacing w:after="0" w:line="118" w:lineRule="exact"/>
              <w:rPr>
                <w:sz w:val="20"/>
                <w:szCs w:val="20"/>
                <w:color w:val="auto"/>
              </w:rPr>
            </w:pPr>
            <w:r>
              <w:rPr>
                <w:rFonts w:ascii="Arial" w:cs="Arial" w:eastAsia="Arial" w:hAnsi="Arial"/>
                <w:sz w:val="11"/>
                <w:szCs w:val="11"/>
                <w:color w:val="0000FF"/>
              </w:rPr>
              <w:t>Inc., GoHealth Holdings, LLC, and Clinton Jones</w:t>
            </w: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40" w:type="dxa"/>
            <w:vAlign w:val="bottom"/>
          </w:tcPr>
          <w:p>
            <w:pPr>
              <w:jc w:val="center"/>
              <w:spacing w:after="0"/>
              <w:rPr>
                <w:sz w:val="20"/>
                <w:szCs w:val="20"/>
                <w:color w:val="auto"/>
              </w:rPr>
            </w:pPr>
            <w:r>
              <w:rPr>
                <w:rFonts w:ascii="Arial" w:cs="Arial" w:eastAsia="Arial" w:hAnsi="Arial"/>
                <w:sz w:val="11"/>
                <w:szCs w:val="11"/>
                <w:color w:val="auto"/>
              </w:rPr>
              <w:t>10.4#</w:t>
            </w:r>
          </w:p>
        </w:tc>
        <w:tc>
          <w:tcPr>
            <w:tcW w:w="60" w:type="dxa"/>
            <w:vAlign w:val="bottom"/>
          </w:tcPr>
          <w:p>
            <w:pPr>
              <w:spacing w:after="0"/>
              <w:rPr>
                <w:sz w:val="13"/>
                <w:szCs w:val="13"/>
                <w:color w:val="auto"/>
              </w:rPr>
            </w:pPr>
          </w:p>
        </w:tc>
        <w:tc>
          <w:tcPr>
            <w:tcW w:w="4980" w:type="dxa"/>
            <w:vAlign w:val="bottom"/>
            <w:tcBorders>
              <w:bottom w:val="single" w:sz="8" w:color="0000FF"/>
            </w:tcBorders>
            <w:gridSpan w:val="32"/>
          </w:tcPr>
          <w:p>
            <w:pPr>
              <w:spacing w:after="0"/>
              <w:rPr>
                <w:sz w:val="20"/>
                <w:szCs w:val="20"/>
                <w:color w:val="auto"/>
              </w:rPr>
            </w:pPr>
            <w:r>
              <w:rPr>
                <w:rFonts w:ascii="Arial" w:cs="Arial" w:eastAsia="Arial" w:hAnsi="Arial"/>
                <w:sz w:val="11"/>
                <w:szCs w:val="11"/>
                <w:color w:val="0000FF"/>
              </w:rPr>
              <w:t>Separation Agreement, dated June 3, 2022, by and among GoHealth Inc., GoHealth Holdings, LLC,</w:t>
            </w:r>
          </w:p>
        </w:tc>
        <w:tc>
          <w:tcPr>
            <w:tcW w:w="20" w:type="dxa"/>
            <w:vAlign w:val="bottom"/>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Borders>
              <w:bottom w:val="single" w:sz="8" w:color="0000FF"/>
            </w:tcBorders>
            <w:gridSpan w:val="5"/>
          </w:tcPr>
          <w:p>
            <w:pPr>
              <w:spacing w:after="0" w:line="118" w:lineRule="exact"/>
              <w:rPr>
                <w:sz w:val="20"/>
                <w:szCs w:val="20"/>
                <w:color w:val="auto"/>
              </w:rPr>
            </w:pPr>
            <w:r>
              <w:rPr>
                <w:rFonts w:ascii="Arial" w:cs="Arial" w:eastAsia="Arial" w:hAnsi="Arial"/>
                <w:sz w:val="11"/>
                <w:szCs w:val="11"/>
                <w:color w:val="0000FF"/>
              </w:rPr>
              <w:t>and Brandon Cruz</w:t>
            </w:r>
          </w:p>
        </w:tc>
        <w:tc>
          <w:tcPr>
            <w:tcW w:w="4080" w:type="dxa"/>
            <w:vAlign w:val="bottom"/>
            <w:gridSpan w:val="28"/>
          </w:tcPr>
          <w:p>
            <w:pPr>
              <w:spacing w:after="0"/>
              <w:rPr>
                <w:sz w:val="10"/>
                <w:szCs w:val="10"/>
                <w:color w:val="auto"/>
              </w:rPr>
            </w:pPr>
          </w:p>
        </w:tc>
      </w:tr>
      <w:tr>
        <w:trPr>
          <w:trHeight w:val="160"/>
        </w:trPr>
        <w:tc>
          <w:tcPr>
            <w:tcW w:w="1040" w:type="dxa"/>
            <w:vAlign w:val="bottom"/>
          </w:tcPr>
          <w:p>
            <w:pPr>
              <w:jc w:val="center"/>
              <w:spacing w:after="0"/>
              <w:rPr>
                <w:sz w:val="20"/>
                <w:szCs w:val="20"/>
                <w:color w:val="auto"/>
              </w:rPr>
            </w:pPr>
            <w:r>
              <w:rPr>
                <w:rFonts w:ascii="Arial" w:cs="Arial" w:eastAsia="Arial" w:hAnsi="Arial"/>
                <w:sz w:val="11"/>
                <w:szCs w:val="11"/>
                <w:color w:val="auto"/>
              </w:rPr>
              <w:t>10.5#</w:t>
            </w:r>
          </w:p>
        </w:tc>
        <w:tc>
          <w:tcPr>
            <w:tcW w:w="60" w:type="dxa"/>
            <w:vAlign w:val="bottom"/>
          </w:tcPr>
          <w:p>
            <w:pPr>
              <w:spacing w:after="0"/>
              <w:rPr>
                <w:sz w:val="13"/>
                <w:szCs w:val="13"/>
                <w:color w:val="auto"/>
              </w:rPr>
            </w:pPr>
          </w:p>
        </w:tc>
        <w:tc>
          <w:tcPr>
            <w:tcW w:w="4700" w:type="dxa"/>
            <w:vAlign w:val="bottom"/>
            <w:tcBorders>
              <w:bottom w:val="single" w:sz="8" w:color="0000FF"/>
            </w:tcBorders>
            <w:gridSpan w:val="24"/>
          </w:tcPr>
          <w:p>
            <w:pPr>
              <w:spacing w:after="0"/>
              <w:rPr>
                <w:sz w:val="20"/>
                <w:szCs w:val="20"/>
                <w:color w:val="auto"/>
              </w:rPr>
            </w:pPr>
            <w:r>
              <w:rPr>
                <w:rFonts w:ascii="Arial" w:cs="Arial" w:eastAsia="Arial" w:hAnsi="Arial"/>
                <w:sz w:val="11"/>
                <w:szCs w:val="11"/>
                <w:color w:val="0000FF"/>
              </w:rPr>
              <w:t>Separation and and General Release Agreement, dated June 6, 2022, by and between James</w:t>
            </w:r>
          </w:p>
        </w:tc>
        <w:tc>
          <w:tcPr>
            <w:tcW w:w="300" w:type="dxa"/>
            <w:vAlign w:val="bottom"/>
            <w:gridSpan w:val="9"/>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0" w:type="dxa"/>
            <w:vAlign w:val="bottom"/>
            <w:gridSpan w:val="33"/>
          </w:tcPr>
          <w:p>
            <w:pPr>
              <w:spacing w:after="0" w:line="118" w:lineRule="exact"/>
              <w:rPr>
                <w:sz w:val="20"/>
                <w:szCs w:val="20"/>
                <w:color w:val="auto"/>
              </w:rPr>
            </w:pPr>
            <w:r>
              <w:rPr>
                <w:rFonts w:ascii="Arial" w:cs="Arial" w:eastAsia="Arial" w:hAnsi="Arial"/>
                <w:sz w:val="11"/>
                <w:szCs w:val="11"/>
                <w:color w:val="0000FF"/>
              </w:rPr>
              <w:t>Sharman and Norvax, LLC</w:t>
            </w: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40" w:type="dxa"/>
            <w:vAlign w:val="bottom"/>
          </w:tcPr>
          <w:p>
            <w:pPr>
              <w:jc w:val="center"/>
              <w:spacing w:after="0"/>
              <w:rPr>
                <w:sz w:val="20"/>
                <w:szCs w:val="20"/>
                <w:color w:val="auto"/>
              </w:rPr>
            </w:pPr>
            <w:r>
              <w:rPr>
                <w:rFonts w:ascii="Arial" w:cs="Arial" w:eastAsia="Arial" w:hAnsi="Arial"/>
                <w:sz w:val="11"/>
                <w:szCs w:val="11"/>
                <w:color w:val="auto"/>
              </w:rPr>
              <w:t>10.6#</w:t>
            </w:r>
          </w:p>
        </w:tc>
        <w:tc>
          <w:tcPr>
            <w:tcW w:w="60" w:type="dxa"/>
            <w:vAlign w:val="bottom"/>
          </w:tcPr>
          <w:p>
            <w:pPr>
              <w:spacing w:after="0"/>
              <w:rPr>
                <w:sz w:val="13"/>
                <w:szCs w:val="13"/>
                <w:color w:val="auto"/>
              </w:rPr>
            </w:pPr>
          </w:p>
        </w:tc>
        <w:tc>
          <w:tcPr>
            <w:tcW w:w="3040" w:type="dxa"/>
            <w:vAlign w:val="bottom"/>
            <w:tcBorders>
              <w:bottom w:val="single" w:sz="8" w:color="0000FF"/>
            </w:tcBorders>
            <w:gridSpan w:val="14"/>
          </w:tcPr>
          <w:p>
            <w:pPr>
              <w:spacing w:after="0"/>
              <w:rPr>
                <w:sz w:val="20"/>
                <w:szCs w:val="20"/>
                <w:color w:val="auto"/>
              </w:rPr>
            </w:pPr>
            <w:r>
              <w:rPr>
                <w:rFonts w:ascii="Arial" w:cs="Arial" w:eastAsia="Arial" w:hAnsi="Arial"/>
                <w:sz w:val="11"/>
                <w:szCs w:val="11"/>
                <w:color w:val="0000FF"/>
              </w:rPr>
              <w:t>GoHealth, Inc. Non-Employee Director Compensation Policy.</w:t>
            </w:r>
          </w:p>
        </w:tc>
        <w:tc>
          <w:tcPr>
            <w:tcW w:w="1960" w:type="dxa"/>
            <w:vAlign w:val="bottom"/>
            <w:gridSpan w:val="19"/>
          </w:tcPr>
          <w:p>
            <w:pPr>
              <w:spacing w:after="0"/>
              <w:rPr>
                <w:sz w:val="13"/>
                <w:szCs w:val="13"/>
                <w:color w:val="auto"/>
              </w:rPr>
            </w:pPr>
          </w:p>
        </w:tc>
      </w:tr>
      <w:tr>
        <w:trPr>
          <w:trHeight w:val="16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10.7</w:t>
            </w:r>
          </w:p>
        </w:tc>
        <w:tc>
          <w:tcPr>
            <w:tcW w:w="60" w:type="dxa"/>
            <w:vAlign w:val="bottom"/>
          </w:tcPr>
          <w:p>
            <w:pPr>
              <w:spacing w:after="0"/>
              <w:rPr>
                <w:sz w:val="13"/>
                <w:szCs w:val="13"/>
                <w:color w:val="auto"/>
              </w:rPr>
            </w:pPr>
          </w:p>
        </w:tc>
        <w:tc>
          <w:tcPr>
            <w:tcW w:w="4660" w:type="dxa"/>
            <w:vAlign w:val="bottom"/>
            <w:tcBorders>
              <w:bottom w:val="single" w:sz="8" w:color="0000FF"/>
            </w:tcBorders>
            <w:gridSpan w:val="23"/>
          </w:tcPr>
          <w:p>
            <w:pPr>
              <w:spacing w:after="0"/>
              <w:rPr>
                <w:rFonts w:ascii="Arial" w:cs="Arial" w:eastAsia="Arial" w:hAnsi="Arial"/>
                <w:sz w:val="11"/>
                <w:szCs w:val="11"/>
                <w:color w:val="0000FF"/>
              </w:rPr>
            </w:pPr>
            <w:hyperlink r:id="rId172">
              <w:r>
                <w:rPr>
                  <w:rFonts w:ascii="Arial" w:cs="Arial" w:eastAsia="Arial" w:hAnsi="Arial"/>
                  <w:sz w:val="11"/>
                  <w:szCs w:val="11"/>
                  <w:color w:val="0000FF"/>
                </w:rPr>
                <w:t>Incentive Award Plan Form of Stock Appreciation Rights Grant Notice and Stock Appreciation</w:t>
              </w:r>
            </w:hyperlink>
          </w:p>
        </w:tc>
        <w:tc>
          <w:tcPr>
            <w:tcW w:w="340" w:type="dxa"/>
            <w:vAlign w:val="bottom"/>
            <w:gridSpan w:val="10"/>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bottom w:val="single" w:sz="8" w:color="0000FF"/>
            </w:tcBorders>
            <w:gridSpan w:val="4"/>
          </w:tcPr>
          <w:p>
            <w:pPr>
              <w:spacing w:after="0" w:line="118" w:lineRule="exact"/>
              <w:rPr>
                <w:rFonts w:ascii="Arial" w:cs="Arial" w:eastAsia="Arial" w:hAnsi="Arial"/>
                <w:sz w:val="11"/>
                <w:szCs w:val="11"/>
                <w:color w:val="0000FF"/>
                <w:w w:val="99"/>
              </w:rPr>
            </w:pPr>
            <w:hyperlink r:id="rId172">
              <w:r>
                <w:rPr>
                  <w:rFonts w:ascii="Arial" w:cs="Arial" w:eastAsia="Arial" w:hAnsi="Arial"/>
                  <w:sz w:val="11"/>
                  <w:szCs w:val="11"/>
                  <w:color w:val="0000FF"/>
                  <w:w w:val="99"/>
                </w:rPr>
                <w:t>Rights Agreement</w:t>
              </w:r>
            </w:hyperlink>
          </w:p>
        </w:tc>
        <w:tc>
          <w:tcPr>
            <w:tcW w:w="4100" w:type="dxa"/>
            <w:vAlign w:val="bottom"/>
            <w:gridSpan w:val="29"/>
          </w:tcPr>
          <w:p>
            <w:pPr>
              <w:spacing w:after="0"/>
              <w:rPr>
                <w:sz w:val="10"/>
                <w:szCs w:val="10"/>
                <w:color w:val="auto"/>
              </w:rPr>
            </w:pPr>
          </w:p>
        </w:tc>
      </w:tr>
      <w:tr>
        <w:trPr>
          <w:trHeight w:val="16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10.8</w:t>
            </w:r>
          </w:p>
        </w:tc>
        <w:tc>
          <w:tcPr>
            <w:tcW w:w="60" w:type="dxa"/>
            <w:vAlign w:val="bottom"/>
          </w:tcPr>
          <w:p>
            <w:pPr>
              <w:spacing w:after="0"/>
              <w:rPr>
                <w:sz w:val="13"/>
                <w:szCs w:val="13"/>
                <w:color w:val="auto"/>
              </w:rPr>
            </w:pPr>
          </w:p>
        </w:tc>
        <w:tc>
          <w:tcPr>
            <w:tcW w:w="3440" w:type="dxa"/>
            <w:vAlign w:val="bottom"/>
            <w:tcBorders>
              <w:bottom w:val="single" w:sz="8" w:color="0000FF"/>
            </w:tcBorders>
            <w:gridSpan w:val="15"/>
          </w:tcPr>
          <w:p>
            <w:pPr>
              <w:spacing w:after="0"/>
              <w:rPr>
                <w:rFonts w:ascii="Arial" w:cs="Arial" w:eastAsia="Arial" w:hAnsi="Arial"/>
                <w:sz w:val="11"/>
                <w:szCs w:val="11"/>
                <w:color w:val="0000FF"/>
              </w:rPr>
            </w:pPr>
            <w:hyperlink r:id="rId173">
              <w:r>
                <w:rPr>
                  <w:rFonts w:ascii="Arial" w:cs="Arial" w:eastAsia="Arial" w:hAnsi="Arial"/>
                  <w:sz w:val="11"/>
                  <w:szCs w:val="11"/>
                  <w:color w:val="0000FF"/>
                </w:rPr>
                <w:t>First Amendment to the GoHealth, Inc. 2021 Inducement Award Plan</w:t>
              </w:r>
            </w:hyperlink>
          </w:p>
        </w:tc>
        <w:tc>
          <w:tcPr>
            <w:tcW w:w="1560" w:type="dxa"/>
            <w:vAlign w:val="bottom"/>
            <w:gridSpan w:val="18"/>
          </w:tcPr>
          <w:p>
            <w:pPr>
              <w:spacing w:after="0"/>
              <w:rPr>
                <w:sz w:val="13"/>
                <w:szCs w:val="13"/>
                <w:color w:val="auto"/>
              </w:rPr>
            </w:pPr>
          </w:p>
        </w:tc>
      </w:tr>
      <w:tr>
        <w:trPr>
          <w:trHeight w:val="16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10.9</w:t>
            </w:r>
          </w:p>
        </w:tc>
        <w:tc>
          <w:tcPr>
            <w:tcW w:w="60" w:type="dxa"/>
            <w:vAlign w:val="bottom"/>
          </w:tcPr>
          <w:p>
            <w:pPr>
              <w:spacing w:after="0"/>
              <w:rPr>
                <w:sz w:val="13"/>
                <w:szCs w:val="13"/>
                <w:color w:val="auto"/>
              </w:rPr>
            </w:pPr>
          </w:p>
        </w:tc>
        <w:tc>
          <w:tcPr>
            <w:tcW w:w="4800" w:type="dxa"/>
            <w:vAlign w:val="bottom"/>
            <w:tcBorders>
              <w:bottom w:val="single" w:sz="8" w:color="0000FF"/>
            </w:tcBorders>
            <w:gridSpan w:val="26"/>
          </w:tcPr>
          <w:p>
            <w:pPr>
              <w:spacing w:after="0"/>
              <w:rPr>
                <w:rFonts w:ascii="Arial" w:cs="Arial" w:eastAsia="Arial" w:hAnsi="Arial"/>
                <w:sz w:val="11"/>
                <w:szCs w:val="11"/>
                <w:color w:val="0000FF"/>
              </w:rPr>
            </w:pPr>
            <w:hyperlink r:id="rId174">
              <w:r>
                <w:rPr>
                  <w:rFonts w:ascii="Arial" w:cs="Arial" w:eastAsia="Arial" w:hAnsi="Arial"/>
                  <w:sz w:val="11"/>
                  <w:szCs w:val="11"/>
                  <w:color w:val="0000FF"/>
                </w:rPr>
                <w:t>Inducement Award Plan Form of Stock Option Award Grant Notice and Stock Option Agreement</w:t>
              </w:r>
            </w:hyperlink>
          </w:p>
        </w:tc>
        <w:tc>
          <w:tcPr>
            <w:tcW w:w="200" w:type="dxa"/>
            <w:vAlign w:val="bottom"/>
            <w:gridSpan w:val="7"/>
          </w:tcPr>
          <w:p>
            <w:pPr>
              <w:spacing w:after="0"/>
              <w:rPr>
                <w:sz w:val="13"/>
                <w:szCs w:val="13"/>
                <w:color w:val="auto"/>
              </w:rPr>
            </w:pPr>
          </w:p>
        </w:tc>
      </w:tr>
      <w:tr>
        <w:trPr>
          <w:trHeight w:val="160"/>
        </w:trPr>
        <w:tc>
          <w:tcPr>
            <w:tcW w:w="1040" w:type="dxa"/>
            <w:vAlign w:val="bottom"/>
          </w:tcPr>
          <w:p>
            <w:pPr>
              <w:jc w:val="center"/>
              <w:spacing w:after="0"/>
              <w:rPr>
                <w:sz w:val="20"/>
                <w:szCs w:val="20"/>
                <w:color w:val="auto"/>
              </w:rPr>
            </w:pPr>
            <w:r>
              <w:rPr>
                <w:rFonts w:ascii="Arial" w:cs="Arial" w:eastAsia="Arial" w:hAnsi="Arial"/>
                <w:sz w:val="11"/>
                <w:szCs w:val="11"/>
                <w:color w:val="auto"/>
              </w:rPr>
              <w:t>10.10</w:t>
            </w:r>
          </w:p>
        </w:tc>
        <w:tc>
          <w:tcPr>
            <w:tcW w:w="60" w:type="dxa"/>
            <w:vAlign w:val="bottom"/>
          </w:tcPr>
          <w:p>
            <w:pPr>
              <w:spacing w:after="0"/>
              <w:rPr>
                <w:sz w:val="13"/>
                <w:szCs w:val="13"/>
                <w:color w:val="auto"/>
              </w:rPr>
            </w:pPr>
          </w:p>
        </w:tc>
        <w:tc>
          <w:tcPr>
            <w:tcW w:w="5000" w:type="dxa"/>
            <w:vAlign w:val="bottom"/>
            <w:gridSpan w:val="33"/>
          </w:tcPr>
          <w:p>
            <w:pPr>
              <w:spacing w:after="0"/>
              <w:rPr>
                <w:rFonts w:ascii="Arial" w:cs="Arial" w:eastAsia="Arial" w:hAnsi="Arial"/>
                <w:sz w:val="11"/>
                <w:szCs w:val="11"/>
                <w:color w:val="0000FF"/>
              </w:rPr>
            </w:pPr>
            <w:hyperlink r:id="rId175">
              <w:r>
                <w:rPr>
                  <w:rFonts w:ascii="Arial" w:cs="Arial" w:eastAsia="Arial" w:hAnsi="Arial"/>
                  <w:sz w:val="11"/>
                  <w:szCs w:val="11"/>
                  <w:color w:val="0000FF"/>
                </w:rPr>
                <w:t>Inducement Award Plan Form of Restricted Stock Unit Award Grant Notice and Restricted Stock</w:t>
              </w:r>
            </w:hyperlink>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top w:val="single" w:sz="8" w:color="0000FF"/>
              <w:bottom w:val="single" w:sz="8" w:color="0000FF"/>
            </w:tcBorders>
            <w:gridSpan w:val="3"/>
          </w:tcPr>
          <w:p>
            <w:pPr>
              <w:spacing w:after="0" w:line="118" w:lineRule="exact"/>
              <w:rPr>
                <w:rFonts w:ascii="Arial" w:cs="Arial" w:eastAsia="Arial" w:hAnsi="Arial"/>
                <w:sz w:val="11"/>
                <w:szCs w:val="11"/>
                <w:color w:val="0000FF"/>
                <w:w w:val="99"/>
              </w:rPr>
            </w:pPr>
            <w:hyperlink r:id="rId175">
              <w:r>
                <w:rPr>
                  <w:rFonts w:ascii="Arial" w:cs="Arial" w:eastAsia="Arial" w:hAnsi="Arial"/>
                  <w:sz w:val="11"/>
                  <w:szCs w:val="11"/>
                  <w:color w:val="0000FF"/>
                  <w:w w:val="99"/>
                </w:rPr>
                <w:t>Unit Agreement</w:t>
              </w:r>
            </w:hyperlink>
          </w:p>
        </w:tc>
        <w:tc>
          <w:tcPr>
            <w:tcW w:w="4000" w:type="dxa"/>
            <w:vAlign w:val="bottom"/>
            <w:tcBorders>
              <w:top w:val="single" w:sz="8" w:color="0000FF"/>
            </w:tcBorders>
            <w:gridSpan w:val="22"/>
          </w:tcPr>
          <w:p>
            <w:pPr>
              <w:spacing w:after="0"/>
              <w:rPr>
                <w:sz w:val="10"/>
                <w:szCs w:val="10"/>
                <w:color w:val="auto"/>
              </w:rPr>
            </w:pPr>
          </w:p>
        </w:tc>
        <w:tc>
          <w:tcPr>
            <w:tcW w:w="220" w:type="dxa"/>
            <w:vAlign w:val="bottom"/>
            <w:gridSpan w:val="8"/>
          </w:tcPr>
          <w:p>
            <w:pPr>
              <w:spacing w:after="0"/>
              <w:rPr>
                <w:sz w:val="10"/>
                <w:szCs w:val="10"/>
                <w:color w:val="auto"/>
              </w:rPr>
            </w:pPr>
          </w:p>
        </w:tc>
      </w:tr>
      <w:tr>
        <w:trPr>
          <w:trHeight w:val="160"/>
        </w:trPr>
        <w:tc>
          <w:tcPr>
            <w:tcW w:w="1040" w:type="dxa"/>
            <w:vAlign w:val="bottom"/>
          </w:tcPr>
          <w:p>
            <w:pPr>
              <w:jc w:val="center"/>
              <w:spacing w:after="0"/>
              <w:rPr>
                <w:sz w:val="20"/>
                <w:szCs w:val="20"/>
                <w:color w:val="auto"/>
              </w:rPr>
            </w:pPr>
            <w:r>
              <w:rPr>
                <w:rFonts w:ascii="Arial" w:cs="Arial" w:eastAsia="Arial" w:hAnsi="Arial"/>
                <w:sz w:val="11"/>
                <w:szCs w:val="11"/>
                <w:color w:val="auto"/>
              </w:rPr>
              <w:t>10.11</w:t>
            </w:r>
          </w:p>
        </w:tc>
        <w:tc>
          <w:tcPr>
            <w:tcW w:w="60" w:type="dxa"/>
            <w:vAlign w:val="bottom"/>
          </w:tcPr>
          <w:p>
            <w:pPr>
              <w:spacing w:after="0"/>
              <w:rPr>
                <w:sz w:val="13"/>
                <w:szCs w:val="13"/>
                <w:color w:val="auto"/>
              </w:rPr>
            </w:pPr>
          </w:p>
        </w:tc>
        <w:tc>
          <w:tcPr>
            <w:tcW w:w="4920" w:type="dxa"/>
            <w:vAlign w:val="bottom"/>
            <w:tcBorders>
              <w:bottom w:val="single" w:sz="8" w:color="0000FF"/>
            </w:tcBorders>
            <w:gridSpan w:val="30"/>
          </w:tcPr>
          <w:p>
            <w:pPr>
              <w:spacing w:after="0"/>
              <w:rPr>
                <w:rFonts w:ascii="Arial" w:cs="Arial" w:eastAsia="Arial" w:hAnsi="Arial"/>
                <w:sz w:val="11"/>
                <w:szCs w:val="11"/>
                <w:color w:val="0000FF"/>
              </w:rPr>
            </w:pPr>
            <w:hyperlink r:id="rId176">
              <w:r>
                <w:rPr>
                  <w:rFonts w:ascii="Arial" w:cs="Arial" w:eastAsia="Arial" w:hAnsi="Arial"/>
                  <w:sz w:val="11"/>
                  <w:szCs w:val="11"/>
                  <w:color w:val="0000FF"/>
                </w:rPr>
                <w:t>Amendment No. 7 to the Credit Agreement and Incremental Facility Agreement, dated as of March</w:t>
              </w:r>
            </w:hyperlink>
          </w:p>
        </w:tc>
        <w:tc>
          <w:tcPr>
            <w:tcW w:w="80" w:type="dxa"/>
            <w:vAlign w:val="bottom"/>
            <w:gridSpan w:val="3"/>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0" w:type="dxa"/>
            <w:vAlign w:val="bottom"/>
            <w:gridSpan w:val="33"/>
          </w:tcPr>
          <w:p>
            <w:pPr>
              <w:spacing w:after="0" w:line="118" w:lineRule="exact"/>
              <w:rPr>
                <w:rFonts w:ascii="Arial" w:cs="Arial" w:eastAsia="Arial" w:hAnsi="Arial"/>
                <w:sz w:val="11"/>
                <w:szCs w:val="11"/>
                <w:color w:val="0000FF"/>
              </w:rPr>
            </w:pPr>
            <w:hyperlink r:id="rId176">
              <w:r>
                <w:rPr>
                  <w:rFonts w:ascii="Arial" w:cs="Arial" w:eastAsia="Arial" w:hAnsi="Arial"/>
                  <w:sz w:val="11"/>
                  <w:szCs w:val="11"/>
                  <w:color w:val="0000FF"/>
                </w:rPr>
                <w:t>14, 2022, among Norvax, LLC, as borrower, Blizzard Midco, LLC, as a guarantor, the other</w:t>
              </w:r>
            </w:hyperlink>
          </w:p>
        </w:tc>
      </w:tr>
      <w:tr>
        <w:trPr>
          <w:trHeight w:val="107"/>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520" w:type="dxa"/>
            <w:vAlign w:val="bottom"/>
            <w:tcBorders>
              <w:top w:val="single" w:sz="8" w:color="0000FF"/>
              <w:bottom w:val="single" w:sz="8" w:color="0000FF"/>
            </w:tcBorders>
            <w:gridSpan w:val="22"/>
          </w:tcPr>
          <w:p>
            <w:pPr>
              <w:spacing w:after="0" w:line="107" w:lineRule="exact"/>
              <w:rPr>
                <w:rFonts w:ascii="Arial" w:cs="Arial" w:eastAsia="Arial" w:hAnsi="Arial"/>
                <w:sz w:val="11"/>
                <w:szCs w:val="11"/>
                <w:color w:val="0000FF"/>
              </w:rPr>
            </w:pPr>
            <w:hyperlink r:id="rId176">
              <w:r>
                <w:rPr>
                  <w:rFonts w:ascii="Arial" w:cs="Arial" w:eastAsia="Arial" w:hAnsi="Arial"/>
                  <w:sz w:val="11"/>
                  <w:szCs w:val="11"/>
                  <w:color w:val="0000FF"/>
                </w:rPr>
                <w:t>guarantors party thereto, Owl Rock Capital Corporation, as administrative agent, collateral</w:t>
              </w:r>
            </w:hyperlink>
          </w:p>
        </w:tc>
        <w:tc>
          <w:tcPr>
            <w:tcW w:w="300" w:type="dxa"/>
            <w:vAlign w:val="bottom"/>
            <w:tcBorders>
              <w:bottom w:val="single" w:sz="8" w:color="0000FF"/>
            </w:tcBorders>
            <w:gridSpan w:val="5"/>
          </w:tcPr>
          <w:p>
            <w:pPr>
              <w:spacing w:after="0" w:line="107" w:lineRule="exact"/>
              <w:rPr>
                <w:rFonts w:ascii="Arial" w:cs="Arial" w:eastAsia="Arial" w:hAnsi="Arial"/>
                <w:sz w:val="11"/>
                <w:szCs w:val="11"/>
                <w:color w:val="0000FF"/>
              </w:rPr>
            </w:pPr>
            <w:hyperlink r:id="rId176">
              <w:r>
                <w:rPr>
                  <w:rFonts w:ascii="Arial" w:cs="Arial" w:eastAsia="Arial" w:hAnsi="Arial"/>
                  <w:sz w:val="11"/>
                  <w:szCs w:val="11"/>
                  <w:color w:val="0000FF"/>
                </w:rPr>
                <w:t>agent</w:t>
              </w:r>
            </w:hyperlink>
          </w:p>
        </w:tc>
        <w:tc>
          <w:tcPr>
            <w:tcW w:w="180" w:type="dxa"/>
            <w:vAlign w:val="bottom"/>
            <w:gridSpan w:val="6"/>
          </w:tcPr>
          <w:p>
            <w:pPr>
              <w:spacing w:after="0"/>
              <w:rPr>
                <w:sz w:val="9"/>
                <w:szCs w:val="9"/>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00" w:type="dxa"/>
            <w:vAlign w:val="bottom"/>
            <w:tcBorders>
              <w:bottom w:val="single" w:sz="8" w:color="0000FF"/>
            </w:tcBorders>
            <w:gridSpan w:val="17"/>
          </w:tcPr>
          <w:p>
            <w:pPr>
              <w:spacing w:after="0" w:line="118" w:lineRule="exact"/>
              <w:rPr>
                <w:rFonts w:ascii="Arial" w:cs="Arial" w:eastAsia="Arial" w:hAnsi="Arial"/>
                <w:sz w:val="11"/>
                <w:szCs w:val="11"/>
                <w:color w:val="0000FF"/>
              </w:rPr>
            </w:pPr>
            <w:hyperlink r:id="rId176">
              <w:r>
                <w:rPr>
                  <w:rFonts w:ascii="Arial" w:cs="Arial" w:eastAsia="Arial" w:hAnsi="Arial"/>
                  <w:sz w:val="11"/>
                  <w:szCs w:val="11"/>
                  <w:color w:val="0000FF"/>
                </w:rPr>
                <w:t>and swingline lender and the other lenders from time to time party thereto.</w:t>
              </w:r>
            </w:hyperlink>
          </w:p>
        </w:tc>
        <w:tc>
          <w:tcPr>
            <w:tcW w:w="1300" w:type="dxa"/>
            <w:vAlign w:val="bottom"/>
            <w:gridSpan w:val="16"/>
          </w:tcPr>
          <w:p>
            <w:pPr>
              <w:spacing w:after="0"/>
              <w:rPr>
                <w:sz w:val="10"/>
                <w:szCs w:val="10"/>
                <w:color w:val="auto"/>
              </w:rPr>
            </w:pPr>
          </w:p>
        </w:tc>
      </w:tr>
      <w:tr>
        <w:trPr>
          <w:trHeight w:val="160"/>
        </w:trPr>
        <w:tc>
          <w:tcPr>
            <w:tcW w:w="1040" w:type="dxa"/>
            <w:vAlign w:val="bottom"/>
          </w:tcPr>
          <w:p>
            <w:pPr>
              <w:jc w:val="center"/>
              <w:spacing w:after="0"/>
              <w:rPr>
                <w:sz w:val="20"/>
                <w:szCs w:val="20"/>
                <w:color w:val="auto"/>
              </w:rPr>
            </w:pPr>
            <w:r>
              <w:rPr>
                <w:rFonts w:ascii="Arial" w:cs="Arial" w:eastAsia="Arial" w:hAnsi="Arial"/>
                <w:sz w:val="11"/>
                <w:szCs w:val="11"/>
                <w:color w:val="auto"/>
              </w:rPr>
              <w:t>10.12</w:t>
            </w:r>
          </w:p>
        </w:tc>
        <w:tc>
          <w:tcPr>
            <w:tcW w:w="60" w:type="dxa"/>
            <w:vAlign w:val="bottom"/>
          </w:tcPr>
          <w:p>
            <w:pPr>
              <w:spacing w:after="0"/>
              <w:rPr>
                <w:sz w:val="13"/>
                <w:szCs w:val="13"/>
                <w:color w:val="auto"/>
              </w:rPr>
            </w:pPr>
          </w:p>
        </w:tc>
        <w:tc>
          <w:tcPr>
            <w:tcW w:w="5000" w:type="dxa"/>
            <w:vAlign w:val="bottom"/>
            <w:gridSpan w:val="33"/>
          </w:tcPr>
          <w:p>
            <w:pPr>
              <w:spacing w:after="0"/>
              <w:rPr>
                <w:rFonts w:ascii="Arial" w:cs="Arial" w:eastAsia="Arial" w:hAnsi="Arial"/>
                <w:sz w:val="11"/>
                <w:szCs w:val="11"/>
                <w:color w:val="0000FF"/>
              </w:rPr>
            </w:pPr>
            <w:hyperlink r:id="rId177">
              <w:r>
                <w:rPr>
                  <w:rFonts w:ascii="Arial" w:cs="Arial" w:eastAsia="Arial" w:hAnsi="Arial"/>
                  <w:sz w:val="11"/>
                  <w:szCs w:val="11"/>
                  <w:color w:val="0000FF"/>
                </w:rPr>
                <w:t>Amendment No. 8 to the Credit Agreement, dated as of August 12, 2022, among Norvax, LLC, as</w:t>
              </w:r>
            </w:hyperlink>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7"/>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0" w:type="dxa"/>
            <w:vAlign w:val="bottom"/>
            <w:gridSpan w:val="33"/>
          </w:tcPr>
          <w:p>
            <w:pPr>
              <w:spacing w:after="0" w:line="118" w:lineRule="exact"/>
              <w:rPr>
                <w:rFonts w:ascii="Arial" w:cs="Arial" w:eastAsia="Arial" w:hAnsi="Arial"/>
                <w:sz w:val="11"/>
                <w:szCs w:val="11"/>
                <w:color w:val="0000FF"/>
              </w:rPr>
            </w:pPr>
            <w:hyperlink r:id="rId177">
              <w:r>
                <w:rPr>
                  <w:rFonts w:ascii="Arial" w:cs="Arial" w:eastAsia="Arial" w:hAnsi="Arial"/>
                  <w:sz w:val="11"/>
                  <w:szCs w:val="11"/>
                  <w:color w:val="0000FF"/>
                </w:rPr>
                <w:t>borrower, Blizzard Midco, LLC, as a guarantor, the other guarantors party thereto, Owl Rock Capital</w:t>
              </w:r>
            </w:hyperlink>
          </w:p>
        </w:tc>
      </w:tr>
      <w:tr>
        <w:trPr>
          <w:trHeight w:val="107"/>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0" w:type="dxa"/>
            <w:vAlign w:val="bottom"/>
            <w:tcBorders>
              <w:top w:val="single" w:sz="8" w:color="0000FF"/>
              <w:bottom w:val="single" w:sz="8" w:color="0000FF"/>
            </w:tcBorders>
            <w:gridSpan w:val="26"/>
          </w:tcPr>
          <w:p>
            <w:pPr>
              <w:spacing w:after="0" w:line="107" w:lineRule="exact"/>
              <w:rPr>
                <w:rFonts w:ascii="Arial" w:cs="Arial" w:eastAsia="Arial" w:hAnsi="Arial"/>
                <w:sz w:val="11"/>
                <w:szCs w:val="11"/>
                <w:color w:val="0000FF"/>
              </w:rPr>
            </w:pPr>
            <w:hyperlink r:id="rId177">
              <w:r>
                <w:rPr>
                  <w:rFonts w:ascii="Arial" w:cs="Arial" w:eastAsia="Arial" w:hAnsi="Arial"/>
                  <w:sz w:val="11"/>
                  <w:szCs w:val="11"/>
                  <w:color w:val="0000FF"/>
                </w:rPr>
                <w:t>Corporation, as administrative agent, collateral agent and swingline lender and the other lenders</w:t>
              </w:r>
            </w:hyperlink>
          </w:p>
        </w:tc>
        <w:tc>
          <w:tcPr>
            <w:tcW w:w="16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Borders>
              <w:bottom w:val="single" w:sz="8" w:color="0000FF"/>
            </w:tcBorders>
            <w:gridSpan w:val="10"/>
          </w:tcPr>
          <w:p>
            <w:pPr>
              <w:spacing w:after="0" w:line="118" w:lineRule="exact"/>
              <w:rPr>
                <w:rFonts w:ascii="Arial" w:cs="Arial" w:eastAsia="Arial" w:hAnsi="Arial"/>
                <w:sz w:val="11"/>
                <w:szCs w:val="11"/>
                <w:color w:val="0000FF"/>
              </w:rPr>
            </w:pPr>
            <w:hyperlink r:id="rId177">
              <w:r>
                <w:rPr>
                  <w:rFonts w:ascii="Arial" w:cs="Arial" w:eastAsia="Arial" w:hAnsi="Arial"/>
                  <w:sz w:val="11"/>
                  <w:szCs w:val="11"/>
                  <w:color w:val="0000FF"/>
                </w:rPr>
                <w:t>from time to time party thereto.</w:t>
              </w:r>
            </w:hyperlink>
          </w:p>
        </w:tc>
        <w:tc>
          <w:tcPr>
            <w:tcW w:w="3460" w:type="dxa"/>
            <w:vAlign w:val="bottom"/>
            <w:gridSpan w:val="23"/>
          </w:tcPr>
          <w:p>
            <w:pPr>
              <w:spacing w:after="0"/>
              <w:rPr>
                <w:sz w:val="10"/>
                <w:szCs w:val="10"/>
                <w:color w:val="auto"/>
              </w:rPr>
            </w:pPr>
          </w:p>
        </w:tc>
      </w:tr>
      <w:tr>
        <w:trPr>
          <w:trHeight w:val="16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10.13#</w:t>
            </w:r>
          </w:p>
        </w:tc>
        <w:tc>
          <w:tcPr>
            <w:tcW w:w="60" w:type="dxa"/>
            <w:vAlign w:val="bottom"/>
          </w:tcPr>
          <w:p>
            <w:pPr>
              <w:spacing w:after="0"/>
              <w:rPr>
                <w:sz w:val="13"/>
                <w:szCs w:val="13"/>
                <w:color w:val="auto"/>
              </w:rPr>
            </w:pPr>
          </w:p>
        </w:tc>
        <w:tc>
          <w:tcPr>
            <w:tcW w:w="4980" w:type="dxa"/>
            <w:vAlign w:val="bottom"/>
            <w:tcBorders>
              <w:bottom w:val="single" w:sz="8" w:color="0000FF"/>
            </w:tcBorders>
            <w:gridSpan w:val="32"/>
          </w:tcPr>
          <w:p>
            <w:pPr>
              <w:spacing w:after="0"/>
              <w:rPr>
                <w:rFonts w:ascii="Arial" w:cs="Arial" w:eastAsia="Arial" w:hAnsi="Arial"/>
                <w:sz w:val="11"/>
                <w:szCs w:val="11"/>
                <w:color w:val="0000FF"/>
              </w:rPr>
            </w:pPr>
            <w:hyperlink r:id="rId178">
              <w:r>
                <w:rPr>
                  <w:rFonts w:ascii="Arial" w:cs="Arial" w:eastAsia="Arial" w:hAnsi="Arial"/>
                  <w:sz w:val="11"/>
                  <w:szCs w:val="11"/>
                  <w:color w:val="0000FF"/>
                </w:rPr>
                <w:t>Amended and Restated Employment Agreement, dated July 7, 2020, by and among GoHealth, Inc.,</w:t>
              </w:r>
            </w:hyperlink>
          </w:p>
        </w:tc>
        <w:tc>
          <w:tcPr>
            <w:tcW w:w="20" w:type="dxa"/>
            <w:vAlign w:val="bottom"/>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0" w:type="dxa"/>
            <w:vAlign w:val="bottom"/>
            <w:gridSpan w:val="33"/>
          </w:tcPr>
          <w:p>
            <w:pPr>
              <w:spacing w:after="0" w:line="118" w:lineRule="exact"/>
              <w:rPr>
                <w:rFonts w:ascii="Arial" w:cs="Arial" w:eastAsia="Arial" w:hAnsi="Arial"/>
                <w:sz w:val="11"/>
                <w:szCs w:val="11"/>
                <w:color w:val="0000FF"/>
              </w:rPr>
            </w:pPr>
            <w:hyperlink r:id="rId178">
              <w:r>
                <w:rPr>
                  <w:rFonts w:ascii="Arial" w:cs="Arial" w:eastAsia="Arial" w:hAnsi="Arial"/>
                  <w:sz w:val="11"/>
                  <w:szCs w:val="11"/>
                  <w:color w:val="0000FF"/>
                </w:rPr>
                <w:t>GoHealth Holdings, LLC, and Brandon Cruz.</w:t>
              </w:r>
            </w:hyperlink>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7"/>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r>
      <w:tr>
        <w:trPr>
          <w:trHeight w:val="16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10.14#</w:t>
            </w:r>
          </w:p>
        </w:tc>
        <w:tc>
          <w:tcPr>
            <w:tcW w:w="60" w:type="dxa"/>
            <w:vAlign w:val="bottom"/>
          </w:tcPr>
          <w:p>
            <w:pPr>
              <w:spacing w:after="0"/>
              <w:rPr>
                <w:sz w:val="13"/>
                <w:szCs w:val="13"/>
                <w:color w:val="auto"/>
              </w:rPr>
            </w:pPr>
          </w:p>
        </w:tc>
        <w:tc>
          <w:tcPr>
            <w:tcW w:w="4840" w:type="dxa"/>
            <w:vAlign w:val="bottom"/>
            <w:tcBorders>
              <w:bottom w:val="single" w:sz="8" w:color="0000FF"/>
            </w:tcBorders>
            <w:gridSpan w:val="28"/>
          </w:tcPr>
          <w:p>
            <w:pPr>
              <w:spacing w:after="0"/>
              <w:rPr>
                <w:rFonts w:ascii="Arial" w:cs="Arial" w:eastAsia="Arial" w:hAnsi="Arial"/>
                <w:sz w:val="11"/>
                <w:szCs w:val="11"/>
                <w:color w:val="0000FF"/>
              </w:rPr>
            </w:pPr>
            <w:hyperlink r:id="rId179">
              <w:r>
                <w:rPr>
                  <w:rFonts w:ascii="Arial" w:cs="Arial" w:eastAsia="Arial" w:hAnsi="Arial"/>
                  <w:sz w:val="11"/>
                  <w:szCs w:val="11"/>
                  <w:color w:val="0000FF"/>
                </w:rPr>
                <w:t>Employment Agreement, dated June 3, 2020, by and among GoHealth, Inc., GoHealth Holdings,</w:t>
              </w:r>
            </w:hyperlink>
          </w:p>
        </w:tc>
        <w:tc>
          <w:tcPr>
            <w:tcW w:w="160" w:type="dxa"/>
            <w:vAlign w:val="bottom"/>
            <w:gridSpan w:val="5"/>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Borders>
              <w:bottom w:val="single" w:sz="8" w:color="0000FF"/>
            </w:tcBorders>
            <w:gridSpan w:val="7"/>
          </w:tcPr>
          <w:p>
            <w:pPr>
              <w:spacing w:after="0" w:line="118" w:lineRule="exact"/>
              <w:rPr>
                <w:rFonts w:ascii="Arial" w:cs="Arial" w:eastAsia="Arial" w:hAnsi="Arial"/>
                <w:sz w:val="11"/>
                <w:szCs w:val="11"/>
                <w:color w:val="0000FF"/>
                <w:w w:val="99"/>
              </w:rPr>
            </w:pPr>
            <w:hyperlink r:id="rId179">
              <w:r>
                <w:rPr>
                  <w:rFonts w:ascii="Arial" w:cs="Arial" w:eastAsia="Arial" w:hAnsi="Arial"/>
                  <w:sz w:val="11"/>
                  <w:szCs w:val="11"/>
                  <w:color w:val="0000FF"/>
                  <w:w w:val="99"/>
                </w:rPr>
                <w:t>LLC, and Brian Farley.</w:t>
              </w:r>
            </w:hyperlink>
          </w:p>
        </w:tc>
        <w:tc>
          <w:tcPr>
            <w:tcW w:w="3880" w:type="dxa"/>
            <w:vAlign w:val="bottom"/>
            <w:gridSpan w:val="26"/>
          </w:tcPr>
          <w:p>
            <w:pPr>
              <w:spacing w:after="0"/>
              <w:rPr>
                <w:sz w:val="10"/>
                <w:szCs w:val="10"/>
                <w:color w:val="auto"/>
              </w:rPr>
            </w:pPr>
          </w:p>
        </w:tc>
      </w:tr>
      <w:tr>
        <w:trPr>
          <w:trHeight w:val="16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31.1</w:t>
            </w:r>
          </w:p>
        </w:tc>
        <w:tc>
          <w:tcPr>
            <w:tcW w:w="60" w:type="dxa"/>
            <w:vAlign w:val="bottom"/>
          </w:tcPr>
          <w:p>
            <w:pPr>
              <w:spacing w:after="0"/>
              <w:rPr>
                <w:sz w:val="13"/>
                <w:szCs w:val="13"/>
                <w:color w:val="auto"/>
              </w:rPr>
            </w:pPr>
          </w:p>
        </w:tc>
        <w:tc>
          <w:tcPr>
            <w:tcW w:w="4040" w:type="dxa"/>
            <w:vAlign w:val="bottom"/>
            <w:tcBorders>
              <w:bottom w:val="single" w:sz="8" w:color="0000FF"/>
            </w:tcBorders>
            <w:gridSpan w:val="21"/>
          </w:tcPr>
          <w:p>
            <w:pPr>
              <w:spacing w:after="0"/>
              <w:rPr>
                <w:sz w:val="20"/>
                <w:szCs w:val="20"/>
                <w:color w:val="auto"/>
              </w:rPr>
            </w:pPr>
            <w:r>
              <w:rPr>
                <w:rFonts w:ascii="Arial" w:cs="Arial" w:eastAsia="Arial" w:hAnsi="Arial"/>
                <w:sz w:val="11"/>
                <w:szCs w:val="11"/>
                <w:color w:val="0000FF"/>
              </w:rPr>
              <w:t>Certification of Chief Executive Officer pursuant to Exchange Act Rule 13a-14(a).</w:t>
            </w:r>
          </w:p>
        </w:tc>
        <w:tc>
          <w:tcPr>
            <w:tcW w:w="960" w:type="dxa"/>
            <w:vAlign w:val="bottom"/>
            <w:gridSpan w:val="12"/>
          </w:tcPr>
          <w:p>
            <w:pPr>
              <w:spacing w:after="0"/>
              <w:rPr>
                <w:sz w:val="13"/>
                <w:szCs w:val="13"/>
                <w:color w:val="auto"/>
              </w:rPr>
            </w:pPr>
          </w:p>
        </w:tc>
      </w:tr>
      <w:tr>
        <w:trPr>
          <w:trHeight w:val="16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31.2</w:t>
            </w:r>
          </w:p>
        </w:tc>
        <w:tc>
          <w:tcPr>
            <w:tcW w:w="60" w:type="dxa"/>
            <w:vAlign w:val="bottom"/>
          </w:tcPr>
          <w:p>
            <w:pPr>
              <w:spacing w:after="0"/>
              <w:rPr>
                <w:sz w:val="13"/>
                <w:szCs w:val="13"/>
                <w:color w:val="auto"/>
              </w:rPr>
            </w:pPr>
          </w:p>
        </w:tc>
        <w:tc>
          <w:tcPr>
            <w:tcW w:w="4000" w:type="dxa"/>
            <w:vAlign w:val="bottom"/>
            <w:tcBorders>
              <w:bottom w:val="single" w:sz="8" w:color="0000FF"/>
            </w:tcBorders>
            <w:gridSpan w:val="20"/>
          </w:tcPr>
          <w:p>
            <w:pPr>
              <w:spacing w:after="0"/>
              <w:rPr>
                <w:sz w:val="20"/>
                <w:szCs w:val="20"/>
                <w:color w:val="auto"/>
              </w:rPr>
            </w:pPr>
            <w:r>
              <w:rPr>
                <w:rFonts w:ascii="Arial" w:cs="Arial" w:eastAsia="Arial" w:hAnsi="Arial"/>
                <w:sz w:val="11"/>
                <w:szCs w:val="11"/>
                <w:color w:val="0000FF"/>
              </w:rPr>
              <w:t>Certification of Chief Financial Officer pursuant to Exchange Act Rule 13a-14(a).</w:t>
            </w:r>
          </w:p>
        </w:tc>
        <w:tc>
          <w:tcPr>
            <w:tcW w:w="1000" w:type="dxa"/>
            <w:vAlign w:val="bottom"/>
            <w:gridSpan w:val="13"/>
          </w:tcPr>
          <w:p>
            <w:pPr>
              <w:spacing w:after="0"/>
              <w:rPr>
                <w:sz w:val="13"/>
                <w:szCs w:val="13"/>
                <w:color w:val="auto"/>
              </w:rPr>
            </w:pPr>
          </w:p>
        </w:tc>
      </w:tr>
      <w:tr>
        <w:trPr>
          <w:trHeight w:val="16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32.1</w:t>
            </w:r>
          </w:p>
        </w:tc>
        <w:tc>
          <w:tcPr>
            <w:tcW w:w="60" w:type="dxa"/>
            <w:vAlign w:val="bottom"/>
          </w:tcPr>
          <w:p>
            <w:pPr>
              <w:spacing w:after="0"/>
              <w:rPr>
                <w:sz w:val="13"/>
                <w:szCs w:val="13"/>
                <w:color w:val="auto"/>
              </w:rPr>
            </w:pPr>
          </w:p>
        </w:tc>
        <w:tc>
          <w:tcPr>
            <w:tcW w:w="5000" w:type="dxa"/>
            <w:vAlign w:val="bottom"/>
            <w:gridSpan w:val="33"/>
          </w:tcPr>
          <w:p>
            <w:pPr>
              <w:spacing w:after="0"/>
              <w:rPr>
                <w:sz w:val="20"/>
                <w:szCs w:val="20"/>
                <w:color w:val="auto"/>
              </w:rPr>
            </w:pPr>
            <w:r>
              <w:rPr>
                <w:rFonts w:ascii="Arial" w:cs="Arial" w:eastAsia="Arial" w:hAnsi="Arial"/>
                <w:sz w:val="11"/>
                <w:szCs w:val="11"/>
                <w:color w:val="0000FF"/>
              </w:rPr>
              <w:t>Certification of Principal Executive Officer pursuant to 18 U.S.C. Section 1350.</w:t>
            </w:r>
          </w:p>
        </w:tc>
      </w:tr>
      <w:tr>
        <w:trPr>
          <w:trHeight w:val="16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32.2</w:t>
            </w:r>
          </w:p>
        </w:tc>
        <w:tc>
          <w:tcPr>
            <w:tcW w:w="6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1"/>
                <w:szCs w:val="11"/>
                <w:color w:val="0000FF"/>
              </w:rPr>
              <w:t>Certification of Chief Financial Officer pursuant to 18 U.S.C. Section 1350.</w:t>
            </w:r>
          </w:p>
        </w:tc>
        <w:tc>
          <w:tcPr>
            <w:tcW w:w="200" w:type="dxa"/>
            <w:vAlign w:val="bottom"/>
            <w:tcBorders>
              <w:top w:val="single" w:sz="8" w:color="0000FF"/>
            </w:tcBorders>
            <w:gridSpan w:val="2"/>
          </w:tcPr>
          <w:p>
            <w:pPr>
              <w:spacing w:after="0"/>
              <w:rPr>
                <w:sz w:val="13"/>
                <w:szCs w:val="13"/>
                <w:color w:val="auto"/>
              </w:rPr>
            </w:pPr>
          </w:p>
        </w:tc>
        <w:tc>
          <w:tcPr>
            <w:tcW w:w="1100" w:type="dxa"/>
            <w:vAlign w:val="bottom"/>
            <w:gridSpan w:val="14"/>
          </w:tcPr>
          <w:p>
            <w:pPr>
              <w:spacing w:after="0"/>
              <w:rPr>
                <w:sz w:val="13"/>
                <w:szCs w:val="13"/>
                <w:color w:val="auto"/>
              </w:rPr>
            </w:pPr>
          </w:p>
        </w:tc>
      </w:tr>
      <w:tr>
        <w:trPr>
          <w:trHeight w:val="175"/>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101.INS</w:t>
            </w:r>
          </w:p>
        </w:tc>
        <w:tc>
          <w:tcPr>
            <w:tcW w:w="60" w:type="dxa"/>
            <w:vAlign w:val="bottom"/>
          </w:tcPr>
          <w:p>
            <w:pPr>
              <w:spacing w:after="0"/>
              <w:rPr>
                <w:sz w:val="15"/>
                <w:szCs w:val="15"/>
                <w:color w:val="auto"/>
              </w:rPr>
            </w:pPr>
          </w:p>
        </w:tc>
        <w:tc>
          <w:tcPr>
            <w:tcW w:w="5000" w:type="dxa"/>
            <w:vAlign w:val="bottom"/>
            <w:gridSpan w:val="33"/>
          </w:tcPr>
          <w:p>
            <w:pPr>
              <w:spacing w:after="0"/>
              <w:rPr>
                <w:sz w:val="20"/>
                <w:szCs w:val="20"/>
                <w:color w:val="auto"/>
              </w:rPr>
            </w:pPr>
            <w:r>
              <w:rPr>
                <w:rFonts w:ascii="Arial" w:cs="Arial" w:eastAsia="Arial" w:hAnsi="Arial"/>
                <w:sz w:val="11"/>
                <w:szCs w:val="11"/>
                <w:color w:val="auto"/>
              </w:rPr>
              <w:t>Inline XBRL Instance Document – the instance document does not appear in the Interactive Data</w:t>
            </w:r>
          </w:p>
        </w:tc>
      </w:tr>
      <w:tr>
        <w:trPr>
          <w:trHeight w:val="148"/>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0" w:type="dxa"/>
            <w:vAlign w:val="bottom"/>
            <w:gridSpan w:val="33"/>
          </w:tcPr>
          <w:p>
            <w:pPr>
              <w:spacing w:after="0"/>
              <w:rPr>
                <w:sz w:val="20"/>
                <w:szCs w:val="20"/>
                <w:color w:val="auto"/>
              </w:rPr>
            </w:pPr>
            <w:r>
              <w:rPr>
                <w:rFonts w:ascii="Arial" w:cs="Arial" w:eastAsia="Arial" w:hAnsi="Arial"/>
                <w:sz w:val="11"/>
                <w:szCs w:val="11"/>
                <w:color w:val="auto"/>
              </w:rPr>
              <w:t>File because its XBRL tags are embedded within the Inline XBRL document.</w:t>
            </w:r>
          </w:p>
        </w:tc>
      </w:tr>
      <w:tr>
        <w:trPr>
          <w:trHeight w:val="18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101.SCH</w:t>
            </w:r>
          </w:p>
        </w:tc>
        <w:tc>
          <w:tcPr>
            <w:tcW w:w="60" w:type="dxa"/>
            <w:vAlign w:val="bottom"/>
          </w:tcPr>
          <w:p>
            <w:pPr>
              <w:spacing w:after="0"/>
              <w:rPr>
                <w:sz w:val="15"/>
                <w:szCs w:val="15"/>
                <w:color w:val="auto"/>
              </w:rPr>
            </w:pPr>
          </w:p>
        </w:tc>
        <w:tc>
          <w:tcPr>
            <w:tcW w:w="5000" w:type="dxa"/>
            <w:vAlign w:val="bottom"/>
            <w:gridSpan w:val="33"/>
          </w:tcPr>
          <w:p>
            <w:pPr>
              <w:spacing w:after="0"/>
              <w:rPr>
                <w:sz w:val="20"/>
                <w:szCs w:val="20"/>
                <w:color w:val="auto"/>
              </w:rPr>
            </w:pPr>
            <w:r>
              <w:rPr>
                <w:rFonts w:ascii="Arial" w:cs="Arial" w:eastAsia="Arial" w:hAnsi="Arial"/>
                <w:sz w:val="11"/>
                <w:szCs w:val="11"/>
                <w:color w:val="auto"/>
              </w:rPr>
              <w:t>Inline XBRL Taxonomy Extension Schema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247269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2472690" cy="698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Filing</w:t>
            </w:r>
          </w:p>
        </w:tc>
      </w:tr>
      <w:tr>
        <w:trPr>
          <w:trHeight w:val="160"/>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Form</w:t>
            </w:r>
          </w:p>
        </w:tc>
        <w:tc>
          <w:tcPr>
            <w:tcW w:w="100" w:type="dxa"/>
            <w:vAlign w:val="bottom"/>
          </w:tcPr>
          <w:p>
            <w:pPr>
              <w:spacing w:after="0"/>
              <w:rPr>
                <w:sz w:val="13"/>
                <w:szCs w:val="13"/>
                <w:color w:val="auto"/>
              </w:rPr>
            </w:pP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File No.</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Exhibit</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r>
      <w:tr>
        <w:trPr>
          <w:trHeight w:val="159"/>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10-Q</w:t>
            </w:r>
          </w:p>
        </w:tc>
        <w:tc>
          <w:tcPr>
            <w:tcW w:w="1200" w:type="dxa"/>
            <w:vAlign w:val="bottom"/>
          </w:tcPr>
          <w:p>
            <w:pPr>
              <w:jc w:val="center"/>
              <w:spacing w:after="0"/>
              <w:rPr>
                <w:sz w:val="20"/>
                <w:szCs w:val="20"/>
                <w:color w:val="auto"/>
              </w:rPr>
            </w:pPr>
            <w:r>
              <w:rPr>
                <w:rFonts w:ascii="Arial" w:cs="Arial" w:eastAsia="Arial" w:hAnsi="Arial"/>
                <w:sz w:val="11"/>
                <w:szCs w:val="11"/>
                <w:color w:val="auto"/>
              </w:rPr>
              <w:t>01-39390</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8/20/2020</w:t>
            </w:r>
          </w:p>
        </w:tc>
      </w:tr>
      <w:tr>
        <w:trPr>
          <w:trHeight w:val="180"/>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10-Q</w:t>
            </w:r>
          </w:p>
        </w:tc>
        <w:tc>
          <w:tcPr>
            <w:tcW w:w="1200" w:type="dxa"/>
            <w:vAlign w:val="bottom"/>
          </w:tcPr>
          <w:p>
            <w:pPr>
              <w:jc w:val="center"/>
              <w:spacing w:after="0"/>
              <w:rPr>
                <w:sz w:val="20"/>
                <w:szCs w:val="20"/>
                <w:color w:val="auto"/>
              </w:rPr>
            </w:pPr>
            <w:r>
              <w:rPr>
                <w:rFonts w:ascii="Arial" w:cs="Arial" w:eastAsia="Arial" w:hAnsi="Arial"/>
                <w:sz w:val="11"/>
                <w:szCs w:val="11"/>
                <w:color w:val="auto"/>
              </w:rPr>
              <w:t>01-39390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8/20/2020</w:t>
            </w:r>
          </w:p>
        </w:tc>
      </w:tr>
      <w:tr>
        <w:trPr>
          <w:trHeight w:val="180"/>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S-1</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6/19/2020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200" w:type="dxa"/>
        <w:tblCellMar>
          <w:top w:w="0" w:type="dxa"/>
          <w:left w:w="0" w:type="dxa"/>
          <w:bottom w:w="0" w:type="dxa"/>
          <w:right w:w="0" w:type="dxa"/>
        </w:tblCellMar>
      </w:tblPr>
      <w:tr>
        <w:trPr>
          <w:trHeight w:val="148"/>
        </w:trPr>
        <w:tc>
          <w:tcPr>
            <w:tcW w:w="540" w:type="dxa"/>
            <w:vAlign w:val="bottom"/>
          </w:tcPr>
          <w:p>
            <w:pPr>
              <w:jc w:val="center"/>
              <w:ind w:right="243"/>
              <w:spacing w:after="0"/>
              <w:rPr>
                <w:sz w:val="20"/>
                <w:szCs w:val="20"/>
                <w:color w:val="auto"/>
              </w:rPr>
            </w:pPr>
            <w:r>
              <w:rPr>
                <w:rFonts w:ascii="Arial" w:cs="Arial" w:eastAsia="Arial" w:hAnsi="Arial"/>
                <w:sz w:val="11"/>
                <w:szCs w:val="11"/>
                <w:color w:val="auto"/>
                <w:w w:val="93"/>
              </w:rPr>
              <w:t>S-8</w:t>
            </w:r>
          </w:p>
        </w:tc>
        <w:tc>
          <w:tcPr>
            <w:tcW w:w="122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40" w:type="dxa"/>
            <w:vAlign w:val="bottom"/>
          </w:tcPr>
          <w:p>
            <w:pPr>
              <w:jc w:val="right"/>
              <w:ind w:right="243"/>
              <w:spacing w:after="0"/>
              <w:rPr>
                <w:sz w:val="20"/>
                <w:szCs w:val="20"/>
                <w:color w:val="auto"/>
              </w:rPr>
            </w:pPr>
            <w:r>
              <w:rPr>
                <w:rFonts w:ascii="Arial" w:cs="Arial" w:eastAsia="Arial" w:hAnsi="Arial"/>
                <w:sz w:val="11"/>
                <w:szCs w:val="11"/>
                <w:color w:val="auto"/>
              </w:rPr>
              <w:t>99.4</w:t>
            </w:r>
          </w:p>
        </w:tc>
        <w:tc>
          <w:tcPr>
            <w:tcW w:w="820" w:type="dxa"/>
            <w:vAlign w:val="bottom"/>
          </w:tcPr>
          <w:p>
            <w:pPr>
              <w:jc w:val="center"/>
              <w:ind w:left="243"/>
              <w:spacing w:after="0"/>
              <w:rPr>
                <w:sz w:val="20"/>
                <w:szCs w:val="20"/>
                <w:color w:val="auto"/>
              </w:rPr>
            </w:pPr>
            <w:r>
              <w:rPr>
                <w:rFonts w:ascii="Arial" w:cs="Arial" w:eastAsia="Arial" w:hAnsi="Arial"/>
                <w:sz w:val="11"/>
                <w:szCs w:val="11"/>
                <w:color w:val="auto"/>
              </w:rPr>
              <w:t>6/6/2022</w:t>
            </w:r>
          </w:p>
        </w:tc>
      </w:tr>
      <w:tr>
        <w:trPr>
          <w:trHeight w:val="255"/>
        </w:trPr>
        <w:tc>
          <w:tcPr>
            <w:tcW w:w="540" w:type="dxa"/>
            <w:vAlign w:val="bottom"/>
          </w:tcPr>
          <w:p>
            <w:pPr>
              <w:jc w:val="center"/>
              <w:ind w:right="243"/>
              <w:spacing w:after="0"/>
              <w:rPr>
                <w:sz w:val="20"/>
                <w:szCs w:val="20"/>
                <w:color w:val="auto"/>
              </w:rPr>
            </w:pPr>
            <w:r>
              <w:rPr>
                <w:rFonts w:ascii="Arial" w:cs="Arial" w:eastAsia="Arial" w:hAnsi="Arial"/>
                <w:sz w:val="11"/>
                <w:szCs w:val="11"/>
                <w:color w:val="auto"/>
                <w:w w:val="93"/>
              </w:rPr>
              <w:t>S-8</w:t>
            </w:r>
          </w:p>
        </w:tc>
        <w:tc>
          <w:tcPr>
            <w:tcW w:w="122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40" w:type="dxa"/>
            <w:vAlign w:val="bottom"/>
          </w:tcPr>
          <w:p>
            <w:pPr>
              <w:jc w:val="right"/>
              <w:ind w:right="243"/>
              <w:spacing w:after="0"/>
              <w:rPr>
                <w:sz w:val="20"/>
                <w:szCs w:val="20"/>
                <w:color w:val="auto"/>
              </w:rPr>
            </w:pPr>
            <w:r>
              <w:rPr>
                <w:rFonts w:ascii="Arial" w:cs="Arial" w:eastAsia="Arial" w:hAnsi="Arial"/>
                <w:sz w:val="11"/>
                <w:szCs w:val="11"/>
                <w:color w:val="auto"/>
              </w:rPr>
              <w:t>99.6</w:t>
            </w:r>
          </w:p>
        </w:tc>
        <w:tc>
          <w:tcPr>
            <w:tcW w:w="820" w:type="dxa"/>
            <w:vAlign w:val="bottom"/>
          </w:tcPr>
          <w:p>
            <w:pPr>
              <w:jc w:val="center"/>
              <w:ind w:left="243"/>
              <w:spacing w:after="0"/>
              <w:rPr>
                <w:sz w:val="20"/>
                <w:szCs w:val="20"/>
                <w:color w:val="auto"/>
              </w:rPr>
            </w:pPr>
            <w:r>
              <w:rPr>
                <w:rFonts w:ascii="Arial" w:cs="Arial" w:eastAsia="Arial" w:hAnsi="Arial"/>
                <w:sz w:val="11"/>
                <w:szCs w:val="11"/>
                <w:color w:val="auto"/>
              </w:rPr>
              <w:t>6/6/2022</w:t>
            </w:r>
          </w:p>
        </w:tc>
      </w:tr>
      <w:tr>
        <w:trPr>
          <w:trHeight w:val="180"/>
        </w:trPr>
        <w:tc>
          <w:tcPr>
            <w:tcW w:w="540" w:type="dxa"/>
            <w:vAlign w:val="bottom"/>
          </w:tcPr>
          <w:p>
            <w:pPr>
              <w:jc w:val="center"/>
              <w:ind w:right="243"/>
              <w:spacing w:after="0"/>
              <w:rPr>
                <w:sz w:val="20"/>
                <w:szCs w:val="20"/>
                <w:color w:val="auto"/>
              </w:rPr>
            </w:pPr>
            <w:r>
              <w:rPr>
                <w:rFonts w:ascii="Arial" w:cs="Arial" w:eastAsia="Arial" w:hAnsi="Arial"/>
                <w:sz w:val="11"/>
                <w:szCs w:val="11"/>
                <w:color w:val="auto"/>
                <w:w w:val="93"/>
              </w:rPr>
              <w:t>S-8</w:t>
            </w:r>
          </w:p>
        </w:tc>
        <w:tc>
          <w:tcPr>
            <w:tcW w:w="122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40" w:type="dxa"/>
            <w:vAlign w:val="bottom"/>
          </w:tcPr>
          <w:p>
            <w:pPr>
              <w:jc w:val="right"/>
              <w:ind w:right="243"/>
              <w:spacing w:after="0"/>
              <w:rPr>
                <w:sz w:val="20"/>
                <w:szCs w:val="20"/>
                <w:color w:val="auto"/>
              </w:rPr>
            </w:pPr>
            <w:r>
              <w:rPr>
                <w:rFonts w:ascii="Arial" w:cs="Arial" w:eastAsia="Arial" w:hAnsi="Arial"/>
                <w:sz w:val="11"/>
                <w:szCs w:val="11"/>
                <w:color w:val="auto"/>
              </w:rPr>
              <w:t>99.7</w:t>
            </w:r>
          </w:p>
        </w:tc>
        <w:tc>
          <w:tcPr>
            <w:tcW w:w="820" w:type="dxa"/>
            <w:vAlign w:val="bottom"/>
          </w:tcPr>
          <w:p>
            <w:pPr>
              <w:jc w:val="center"/>
              <w:ind w:left="243"/>
              <w:spacing w:after="0"/>
              <w:rPr>
                <w:sz w:val="20"/>
                <w:szCs w:val="20"/>
                <w:color w:val="auto"/>
              </w:rPr>
            </w:pPr>
            <w:r>
              <w:rPr>
                <w:rFonts w:ascii="Arial" w:cs="Arial" w:eastAsia="Arial" w:hAnsi="Arial"/>
                <w:sz w:val="11"/>
                <w:szCs w:val="11"/>
                <w:color w:val="auto"/>
              </w:rPr>
              <w:t>6/6/2022</w:t>
            </w:r>
          </w:p>
        </w:tc>
      </w:tr>
      <w:tr>
        <w:trPr>
          <w:trHeight w:val="244"/>
        </w:trPr>
        <w:tc>
          <w:tcPr>
            <w:tcW w:w="540" w:type="dxa"/>
            <w:vAlign w:val="bottom"/>
          </w:tcPr>
          <w:p>
            <w:pPr>
              <w:jc w:val="center"/>
              <w:ind w:right="243"/>
              <w:spacing w:after="0"/>
              <w:rPr>
                <w:sz w:val="20"/>
                <w:szCs w:val="20"/>
                <w:color w:val="auto"/>
              </w:rPr>
            </w:pPr>
            <w:r>
              <w:rPr>
                <w:rFonts w:ascii="Arial" w:cs="Arial" w:eastAsia="Arial" w:hAnsi="Arial"/>
                <w:sz w:val="11"/>
                <w:szCs w:val="11"/>
                <w:color w:val="auto"/>
                <w:w w:val="93"/>
              </w:rPr>
              <w:t>S-8</w:t>
            </w:r>
          </w:p>
        </w:tc>
        <w:tc>
          <w:tcPr>
            <w:tcW w:w="122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40" w:type="dxa"/>
            <w:vAlign w:val="bottom"/>
          </w:tcPr>
          <w:p>
            <w:pPr>
              <w:jc w:val="right"/>
              <w:ind w:right="243"/>
              <w:spacing w:after="0"/>
              <w:rPr>
                <w:sz w:val="20"/>
                <w:szCs w:val="20"/>
                <w:color w:val="auto"/>
              </w:rPr>
            </w:pPr>
            <w:r>
              <w:rPr>
                <w:rFonts w:ascii="Arial" w:cs="Arial" w:eastAsia="Arial" w:hAnsi="Arial"/>
                <w:sz w:val="11"/>
                <w:szCs w:val="11"/>
                <w:color w:val="auto"/>
              </w:rPr>
              <w:t>99.8</w:t>
            </w:r>
          </w:p>
        </w:tc>
        <w:tc>
          <w:tcPr>
            <w:tcW w:w="820" w:type="dxa"/>
            <w:vAlign w:val="bottom"/>
          </w:tcPr>
          <w:p>
            <w:pPr>
              <w:jc w:val="center"/>
              <w:ind w:left="243"/>
              <w:spacing w:after="0"/>
              <w:rPr>
                <w:sz w:val="20"/>
                <w:szCs w:val="20"/>
                <w:color w:val="auto"/>
              </w:rPr>
            </w:pPr>
            <w:r>
              <w:rPr>
                <w:rFonts w:ascii="Arial" w:cs="Arial" w:eastAsia="Arial" w:hAnsi="Arial"/>
                <w:sz w:val="11"/>
                <w:szCs w:val="11"/>
                <w:color w:val="auto"/>
              </w:rPr>
              <w:t>6/6/2022</w:t>
            </w:r>
          </w:p>
        </w:tc>
      </w:tr>
      <w:tr>
        <w:trPr>
          <w:trHeight w:val="456"/>
        </w:trPr>
        <w:tc>
          <w:tcPr>
            <w:tcW w:w="540" w:type="dxa"/>
            <w:vAlign w:val="bottom"/>
          </w:tcPr>
          <w:p>
            <w:pPr>
              <w:jc w:val="center"/>
              <w:ind w:right="243"/>
              <w:spacing w:after="0"/>
              <w:rPr>
                <w:sz w:val="20"/>
                <w:szCs w:val="20"/>
                <w:color w:val="auto"/>
              </w:rPr>
            </w:pPr>
            <w:r>
              <w:rPr>
                <w:rFonts w:ascii="Arial" w:cs="Arial" w:eastAsia="Arial" w:hAnsi="Arial"/>
                <w:sz w:val="11"/>
                <w:szCs w:val="11"/>
                <w:color w:val="auto"/>
                <w:w w:val="93"/>
              </w:rPr>
              <w:t>8-K</w:t>
            </w:r>
          </w:p>
        </w:tc>
        <w:tc>
          <w:tcPr>
            <w:tcW w:w="122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840" w:type="dxa"/>
            <w:vAlign w:val="bottom"/>
          </w:tcPr>
          <w:p>
            <w:pPr>
              <w:jc w:val="right"/>
              <w:ind w:right="243"/>
              <w:spacing w:after="0"/>
              <w:rPr>
                <w:sz w:val="20"/>
                <w:szCs w:val="20"/>
                <w:color w:val="auto"/>
              </w:rPr>
            </w:pPr>
            <w:r>
              <w:rPr>
                <w:rFonts w:ascii="Arial" w:cs="Arial" w:eastAsia="Arial" w:hAnsi="Arial"/>
                <w:sz w:val="11"/>
                <w:szCs w:val="11"/>
                <w:color w:val="auto"/>
              </w:rPr>
              <w:t>10.1</w:t>
            </w:r>
          </w:p>
        </w:tc>
        <w:tc>
          <w:tcPr>
            <w:tcW w:w="820" w:type="dxa"/>
            <w:vAlign w:val="bottom"/>
          </w:tcPr>
          <w:p>
            <w:pPr>
              <w:jc w:val="center"/>
              <w:ind w:left="263"/>
              <w:spacing w:after="0"/>
              <w:rPr>
                <w:sz w:val="20"/>
                <w:szCs w:val="20"/>
                <w:color w:val="auto"/>
              </w:rPr>
            </w:pPr>
            <w:r>
              <w:rPr>
                <w:rFonts w:ascii="Arial" w:cs="Arial" w:eastAsia="Arial" w:hAnsi="Arial"/>
                <w:sz w:val="11"/>
                <w:szCs w:val="11"/>
                <w:color w:val="auto"/>
              </w:rPr>
              <w:t>3/16/2022</w:t>
            </w:r>
          </w:p>
        </w:tc>
      </w:tr>
      <w:tr>
        <w:trPr>
          <w:trHeight w:val="584"/>
        </w:trPr>
        <w:tc>
          <w:tcPr>
            <w:tcW w:w="540" w:type="dxa"/>
            <w:vAlign w:val="bottom"/>
          </w:tcPr>
          <w:p>
            <w:pPr>
              <w:jc w:val="center"/>
              <w:ind w:right="243"/>
              <w:spacing w:after="0"/>
              <w:rPr>
                <w:sz w:val="20"/>
                <w:szCs w:val="20"/>
                <w:color w:val="auto"/>
              </w:rPr>
            </w:pPr>
            <w:r>
              <w:rPr>
                <w:rFonts w:ascii="Arial" w:cs="Arial" w:eastAsia="Arial" w:hAnsi="Arial"/>
                <w:sz w:val="11"/>
                <w:szCs w:val="11"/>
                <w:color w:val="auto"/>
                <w:w w:val="93"/>
              </w:rPr>
              <w:t>8-K</w:t>
            </w:r>
          </w:p>
        </w:tc>
        <w:tc>
          <w:tcPr>
            <w:tcW w:w="122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840" w:type="dxa"/>
            <w:vAlign w:val="bottom"/>
          </w:tcPr>
          <w:p>
            <w:pPr>
              <w:jc w:val="right"/>
              <w:ind w:right="243"/>
              <w:spacing w:after="0"/>
              <w:rPr>
                <w:sz w:val="20"/>
                <w:szCs w:val="20"/>
                <w:color w:val="auto"/>
              </w:rPr>
            </w:pPr>
            <w:r>
              <w:rPr>
                <w:rFonts w:ascii="Arial" w:cs="Arial" w:eastAsia="Arial" w:hAnsi="Arial"/>
                <w:sz w:val="11"/>
                <w:szCs w:val="11"/>
                <w:color w:val="auto"/>
              </w:rPr>
              <w:t>10.1</w:t>
            </w:r>
          </w:p>
        </w:tc>
        <w:tc>
          <w:tcPr>
            <w:tcW w:w="820" w:type="dxa"/>
            <w:vAlign w:val="bottom"/>
          </w:tcPr>
          <w:p>
            <w:pPr>
              <w:jc w:val="center"/>
              <w:ind w:left="263"/>
              <w:spacing w:after="0"/>
              <w:rPr>
                <w:sz w:val="20"/>
                <w:szCs w:val="20"/>
                <w:color w:val="auto"/>
              </w:rPr>
            </w:pPr>
            <w:r>
              <w:rPr>
                <w:rFonts w:ascii="Arial" w:cs="Arial" w:eastAsia="Arial" w:hAnsi="Arial"/>
                <w:sz w:val="11"/>
                <w:szCs w:val="11"/>
                <w:color w:val="auto"/>
              </w:rPr>
              <w:t>8/15/2022</w:t>
            </w:r>
          </w:p>
        </w:tc>
      </w:tr>
      <w:tr>
        <w:trPr>
          <w:trHeight w:val="446"/>
        </w:trPr>
        <w:tc>
          <w:tcPr>
            <w:tcW w:w="540" w:type="dxa"/>
            <w:vAlign w:val="bottom"/>
          </w:tcPr>
          <w:p>
            <w:pPr>
              <w:jc w:val="center"/>
              <w:ind w:right="243"/>
              <w:spacing w:after="0"/>
              <w:rPr>
                <w:sz w:val="20"/>
                <w:szCs w:val="20"/>
                <w:color w:val="auto"/>
              </w:rPr>
            </w:pPr>
            <w:r>
              <w:rPr>
                <w:rFonts w:ascii="Arial" w:cs="Arial" w:eastAsia="Arial" w:hAnsi="Arial"/>
                <w:sz w:val="11"/>
                <w:szCs w:val="11"/>
                <w:color w:val="auto"/>
                <w:w w:val="97"/>
              </w:rPr>
              <w:t>10-Q</w:t>
            </w:r>
          </w:p>
        </w:tc>
        <w:tc>
          <w:tcPr>
            <w:tcW w:w="122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840" w:type="dxa"/>
            <w:vAlign w:val="bottom"/>
          </w:tcPr>
          <w:p>
            <w:pPr>
              <w:jc w:val="right"/>
              <w:ind w:right="243"/>
              <w:spacing w:after="0"/>
              <w:rPr>
                <w:sz w:val="20"/>
                <w:szCs w:val="20"/>
                <w:color w:val="auto"/>
              </w:rPr>
            </w:pPr>
            <w:r>
              <w:rPr>
                <w:rFonts w:ascii="Arial" w:cs="Arial" w:eastAsia="Arial" w:hAnsi="Arial"/>
                <w:sz w:val="11"/>
                <w:szCs w:val="11"/>
                <w:color w:val="auto"/>
              </w:rPr>
              <w:t>10.2</w:t>
            </w:r>
          </w:p>
        </w:tc>
        <w:tc>
          <w:tcPr>
            <w:tcW w:w="820" w:type="dxa"/>
            <w:vAlign w:val="bottom"/>
          </w:tcPr>
          <w:p>
            <w:pPr>
              <w:jc w:val="center"/>
              <w:ind w:left="263"/>
              <w:spacing w:after="0"/>
              <w:rPr>
                <w:sz w:val="20"/>
                <w:szCs w:val="20"/>
                <w:color w:val="auto"/>
              </w:rPr>
            </w:pPr>
            <w:r>
              <w:rPr>
                <w:rFonts w:ascii="Arial" w:cs="Arial" w:eastAsia="Arial" w:hAnsi="Arial"/>
                <w:sz w:val="11"/>
                <w:szCs w:val="11"/>
                <w:color w:val="auto"/>
              </w:rPr>
              <w:t>5/10/2022</w:t>
            </w:r>
          </w:p>
        </w:tc>
      </w:tr>
      <w:tr>
        <w:trPr>
          <w:trHeight w:val="318"/>
        </w:trPr>
        <w:tc>
          <w:tcPr>
            <w:tcW w:w="540" w:type="dxa"/>
            <w:vAlign w:val="bottom"/>
          </w:tcPr>
          <w:p>
            <w:pPr>
              <w:jc w:val="center"/>
              <w:ind w:right="243"/>
              <w:spacing w:after="0"/>
              <w:rPr>
                <w:sz w:val="20"/>
                <w:szCs w:val="20"/>
                <w:color w:val="auto"/>
              </w:rPr>
            </w:pPr>
            <w:r>
              <w:rPr>
                <w:rFonts w:ascii="Arial" w:cs="Arial" w:eastAsia="Arial" w:hAnsi="Arial"/>
                <w:sz w:val="11"/>
                <w:szCs w:val="11"/>
                <w:color w:val="auto"/>
                <w:w w:val="97"/>
              </w:rPr>
              <w:t>10-Q</w:t>
            </w:r>
          </w:p>
        </w:tc>
        <w:tc>
          <w:tcPr>
            <w:tcW w:w="122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840" w:type="dxa"/>
            <w:vAlign w:val="bottom"/>
          </w:tcPr>
          <w:p>
            <w:pPr>
              <w:jc w:val="right"/>
              <w:ind w:right="243"/>
              <w:spacing w:after="0"/>
              <w:rPr>
                <w:sz w:val="20"/>
                <w:szCs w:val="20"/>
                <w:color w:val="auto"/>
              </w:rPr>
            </w:pPr>
            <w:r>
              <w:rPr>
                <w:rFonts w:ascii="Arial" w:cs="Arial" w:eastAsia="Arial" w:hAnsi="Arial"/>
                <w:sz w:val="11"/>
                <w:szCs w:val="11"/>
                <w:color w:val="auto"/>
              </w:rPr>
              <w:t>10.3</w:t>
            </w:r>
          </w:p>
        </w:tc>
        <w:tc>
          <w:tcPr>
            <w:tcW w:w="820" w:type="dxa"/>
            <w:vAlign w:val="bottom"/>
          </w:tcPr>
          <w:p>
            <w:pPr>
              <w:jc w:val="center"/>
              <w:ind w:left="263"/>
              <w:spacing w:after="0"/>
              <w:rPr>
                <w:sz w:val="20"/>
                <w:szCs w:val="20"/>
                <w:color w:val="auto"/>
              </w:rPr>
            </w:pPr>
            <w:r>
              <w:rPr>
                <w:rFonts w:ascii="Arial" w:cs="Arial" w:eastAsia="Arial" w:hAnsi="Arial"/>
                <w:sz w:val="11"/>
                <w:szCs w:val="11"/>
                <w:color w:val="auto"/>
              </w:rPr>
              <w:t>5/10/2022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80"/>
        <w:spacing w:after="0"/>
        <w:rPr>
          <w:sz w:val="20"/>
          <w:szCs w:val="20"/>
          <w:color w:val="auto"/>
        </w:rPr>
      </w:pPr>
      <w:r>
        <w:rPr>
          <w:rFonts w:ascii="Arial" w:cs="Arial" w:eastAsia="Arial" w:hAnsi="Arial"/>
          <w:sz w:val="11"/>
          <w:szCs w:val="11"/>
          <w:b w:val="1"/>
          <w:bCs w:val="1"/>
          <w:color w:val="auto"/>
        </w:rPr>
        <w:t>Filed/</w:t>
      </w:r>
    </w:p>
    <w:p>
      <w:pPr>
        <w:spacing w:after="0" w:line="21" w:lineRule="exact"/>
        <w:rPr>
          <w:sz w:val="20"/>
          <w:szCs w:val="20"/>
          <w:color w:val="auto"/>
        </w:rPr>
      </w:pPr>
    </w:p>
    <w:p>
      <w:pPr>
        <w:jc w:val="center"/>
        <w:ind w:right="280"/>
        <w:spacing w:after="0"/>
        <w:rPr>
          <w:sz w:val="20"/>
          <w:szCs w:val="20"/>
          <w:color w:val="auto"/>
        </w:rPr>
      </w:pPr>
      <w:r>
        <w:rPr>
          <w:rFonts w:ascii="Arial" w:cs="Arial" w:eastAsia="Arial" w:hAnsi="Arial"/>
          <w:sz w:val="11"/>
          <w:szCs w:val="11"/>
          <w:b w:val="1"/>
          <w:bCs w:val="1"/>
          <w:color w:val="auto"/>
        </w:rPr>
        <w:t>Furnished</w:t>
      </w:r>
    </w:p>
    <w:p>
      <w:pPr>
        <w:spacing w:after="0" w:line="11" w:lineRule="exact"/>
        <w:rPr>
          <w:sz w:val="20"/>
          <w:szCs w:val="20"/>
          <w:color w:val="auto"/>
        </w:rPr>
      </w:pPr>
    </w:p>
    <w:p>
      <w:pPr>
        <w:jc w:val="center"/>
        <w:ind w:right="280"/>
        <w:spacing w:after="0"/>
        <w:rPr>
          <w:sz w:val="20"/>
          <w:szCs w:val="20"/>
          <w:color w:val="auto"/>
        </w:rPr>
      </w:pPr>
      <w:r>
        <w:rPr>
          <w:rFonts w:ascii="Arial" w:cs="Arial" w:eastAsia="Arial" w:hAnsi="Arial"/>
          <w:sz w:val="11"/>
          <w:szCs w:val="11"/>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11430</wp:posOffset>
            </wp:positionV>
            <wp:extent cx="70040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004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221" w:lineRule="exact"/>
        <w:rPr>
          <w:sz w:val="20"/>
          <w:szCs w:val="20"/>
          <w:color w:val="auto"/>
        </w:rPr>
      </w:pPr>
    </w:p>
    <w:p>
      <w:pPr>
        <w:sectPr>
          <w:pgSz w:w="11900" w:h="16838" w:orient="portrait"/>
          <w:cols w:equalWidth="0" w:num="3">
            <w:col w:w="6100" w:space="100"/>
            <w:col w:w="3880" w:space="380"/>
            <w:col w:w="820"/>
          </w:cols>
          <w:pgMar w:left="300" w:top="1105" w:right="319" w:bottom="1440" w:gutter="0" w:footer="0" w:header="0"/>
        </w:sect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44</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type w:val="continuous"/>
        </w:sectPr>
      </w:pPr>
    </w:p>
    <w:bookmarkStart w:id="47" w:name="page48"/>
    <w:bookmarkEnd w:id="47"/>
    <w:tbl>
      <w:tblPr>
        <w:tblLayout w:type="fixed"/>
        <w:tblInd w:w="260" w:type="dxa"/>
        <w:tblCellMar>
          <w:top w:w="0" w:type="dxa"/>
          <w:left w:w="0" w:type="dxa"/>
          <w:bottom w:w="0" w:type="dxa"/>
          <w:right w:w="0" w:type="dxa"/>
        </w:tblCellMar>
      </w:tblPr>
      <w:tr>
        <w:trPr>
          <w:trHeight w:val="148"/>
        </w:trPr>
        <w:tc>
          <w:tcPr>
            <w:tcW w:w="640" w:type="dxa"/>
            <w:vAlign w:val="bottom"/>
          </w:tcPr>
          <w:p>
            <w:pPr>
              <w:jc w:val="center"/>
              <w:ind w:right="103"/>
              <w:spacing w:after="0"/>
              <w:rPr>
                <w:sz w:val="20"/>
                <w:szCs w:val="20"/>
                <w:color w:val="auto"/>
              </w:rPr>
            </w:pPr>
            <w:r>
              <w:rPr>
                <w:rFonts w:ascii="Arial" w:cs="Arial" w:eastAsia="Arial" w:hAnsi="Arial"/>
                <w:sz w:val="11"/>
                <w:szCs w:val="11"/>
                <w:color w:val="auto"/>
              </w:rPr>
              <w:t>101.CAL</w:t>
            </w:r>
          </w:p>
        </w:tc>
        <w:tc>
          <w:tcPr>
            <w:tcW w:w="7220" w:type="dxa"/>
            <w:vAlign w:val="bottom"/>
          </w:tcPr>
          <w:p>
            <w:pPr>
              <w:ind w:left="200"/>
              <w:spacing w:after="0"/>
              <w:rPr>
                <w:sz w:val="20"/>
                <w:szCs w:val="20"/>
                <w:color w:val="auto"/>
              </w:rPr>
            </w:pPr>
            <w:r>
              <w:rPr>
                <w:rFonts w:ascii="Arial" w:cs="Arial" w:eastAsia="Arial" w:hAnsi="Arial"/>
                <w:sz w:val="11"/>
                <w:szCs w:val="11"/>
                <w:color w:val="auto"/>
              </w:rPr>
              <w:t>Inline XBRL Taxonomy Extension Calculation Linkbase Document</w:t>
            </w:r>
          </w:p>
        </w:tc>
        <w:tc>
          <w:tcPr>
            <w:tcW w:w="26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0"/>
        </w:trPr>
        <w:tc>
          <w:tcPr>
            <w:tcW w:w="640" w:type="dxa"/>
            <w:vAlign w:val="bottom"/>
          </w:tcPr>
          <w:p>
            <w:pPr>
              <w:jc w:val="center"/>
              <w:ind w:right="123"/>
              <w:spacing w:after="0"/>
              <w:rPr>
                <w:sz w:val="20"/>
                <w:szCs w:val="20"/>
                <w:color w:val="auto"/>
              </w:rPr>
            </w:pPr>
            <w:r>
              <w:rPr>
                <w:rFonts w:ascii="Arial" w:cs="Arial" w:eastAsia="Arial" w:hAnsi="Arial"/>
                <w:sz w:val="11"/>
                <w:szCs w:val="11"/>
                <w:color w:val="auto"/>
              </w:rPr>
              <w:t>101.DEF</w:t>
            </w:r>
          </w:p>
        </w:tc>
        <w:tc>
          <w:tcPr>
            <w:tcW w:w="7220" w:type="dxa"/>
            <w:vAlign w:val="bottom"/>
          </w:tcPr>
          <w:p>
            <w:pPr>
              <w:ind w:left="200"/>
              <w:spacing w:after="0"/>
              <w:rPr>
                <w:sz w:val="20"/>
                <w:szCs w:val="20"/>
                <w:color w:val="auto"/>
              </w:rPr>
            </w:pPr>
            <w:r>
              <w:rPr>
                <w:rFonts w:ascii="Arial" w:cs="Arial" w:eastAsia="Arial" w:hAnsi="Arial"/>
                <w:sz w:val="11"/>
                <w:szCs w:val="11"/>
                <w:color w:val="auto"/>
              </w:rPr>
              <w:t>Inline XBRL Taxonomy Extension Definition Linkbase Document</w:t>
            </w:r>
          </w:p>
        </w:tc>
        <w:tc>
          <w:tcPr>
            <w:tcW w:w="26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0"/>
        </w:trPr>
        <w:tc>
          <w:tcPr>
            <w:tcW w:w="640" w:type="dxa"/>
            <w:vAlign w:val="bottom"/>
          </w:tcPr>
          <w:p>
            <w:pPr>
              <w:jc w:val="center"/>
              <w:ind w:right="123"/>
              <w:spacing w:after="0"/>
              <w:rPr>
                <w:sz w:val="20"/>
                <w:szCs w:val="20"/>
                <w:color w:val="auto"/>
              </w:rPr>
            </w:pPr>
            <w:r>
              <w:rPr>
                <w:rFonts w:ascii="Arial" w:cs="Arial" w:eastAsia="Arial" w:hAnsi="Arial"/>
                <w:sz w:val="11"/>
                <w:szCs w:val="11"/>
                <w:color w:val="auto"/>
                <w:w w:val="99"/>
              </w:rPr>
              <w:t>101.LAB</w:t>
            </w:r>
          </w:p>
        </w:tc>
        <w:tc>
          <w:tcPr>
            <w:tcW w:w="7220" w:type="dxa"/>
            <w:vAlign w:val="bottom"/>
          </w:tcPr>
          <w:p>
            <w:pPr>
              <w:ind w:left="200"/>
              <w:spacing w:after="0"/>
              <w:rPr>
                <w:sz w:val="20"/>
                <w:szCs w:val="20"/>
                <w:color w:val="auto"/>
              </w:rPr>
            </w:pPr>
            <w:r>
              <w:rPr>
                <w:rFonts w:ascii="Arial" w:cs="Arial" w:eastAsia="Arial" w:hAnsi="Arial"/>
                <w:sz w:val="11"/>
                <w:szCs w:val="11"/>
                <w:color w:val="auto"/>
              </w:rPr>
              <w:t>Inline XBRL Taxonomy Extension Label Linkbase Document</w:t>
            </w:r>
          </w:p>
        </w:tc>
        <w:tc>
          <w:tcPr>
            <w:tcW w:w="26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0"/>
        </w:trPr>
        <w:tc>
          <w:tcPr>
            <w:tcW w:w="640" w:type="dxa"/>
            <w:vAlign w:val="bottom"/>
          </w:tcPr>
          <w:p>
            <w:pPr>
              <w:jc w:val="center"/>
              <w:ind w:right="123"/>
              <w:spacing w:after="0"/>
              <w:rPr>
                <w:sz w:val="20"/>
                <w:szCs w:val="20"/>
                <w:color w:val="auto"/>
              </w:rPr>
            </w:pPr>
            <w:r>
              <w:rPr>
                <w:rFonts w:ascii="Arial" w:cs="Arial" w:eastAsia="Arial" w:hAnsi="Arial"/>
                <w:sz w:val="11"/>
                <w:szCs w:val="11"/>
                <w:color w:val="auto"/>
              </w:rPr>
              <w:t>101.PRE</w:t>
            </w:r>
          </w:p>
        </w:tc>
        <w:tc>
          <w:tcPr>
            <w:tcW w:w="7220" w:type="dxa"/>
            <w:vAlign w:val="bottom"/>
          </w:tcPr>
          <w:p>
            <w:pPr>
              <w:ind w:left="200"/>
              <w:spacing w:after="0"/>
              <w:rPr>
                <w:sz w:val="20"/>
                <w:szCs w:val="20"/>
                <w:color w:val="auto"/>
              </w:rPr>
            </w:pPr>
            <w:r>
              <w:rPr>
                <w:rFonts w:ascii="Arial" w:cs="Arial" w:eastAsia="Arial" w:hAnsi="Arial"/>
                <w:sz w:val="11"/>
                <w:szCs w:val="11"/>
                <w:color w:val="auto"/>
              </w:rPr>
              <w:t>Inline XBRL Taxonomy Extension Presentation Linkbase Document</w:t>
            </w:r>
          </w:p>
        </w:tc>
        <w:tc>
          <w:tcPr>
            <w:tcW w:w="26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0"/>
        </w:trPr>
        <w:tc>
          <w:tcPr>
            <w:tcW w:w="640" w:type="dxa"/>
            <w:vAlign w:val="bottom"/>
          </w:tcPr>
          <w:p>
            <w:pPr>
              <w:jc w:val="center"/>
              <w:ind w:right="123"/>
              <w:spacing w:after="0"/>
              <w:rPr>
                <w:sz w:val="20"/>
                <w:szCs w:val="20"/>
                <w:color w:val="auto"/>
              </w:rPr>
            </w:pPr>
            <w:r>
              <w:rPr>
                <w:rFonts w:ascii="Arial" w:cs="Arial" w:eastAsia="Arial" w:hAnsi="Arial"/>
                <w:sz w:val="11"/>
                <w:szCs w:val="11"/>
                <w:color w:val="auto"/>
                <w:w w:val="97"/>
              </w:rPr>
              <w:t>104</w:t>
            </w:r>
          </w:p>
        </w:tc>
        <w:tc>
          <w:tcPr>
            <w:tcW w:w="7220" w:type="dxa"/>
            <w:vAlign w:val="bottom"/>
          </w:tcPr>
          <w:p>
            <w:pPr>
              <w:ind w:left="200"/>
              <w:spacing w:after="0"/>
              <w:rPr>
                <w:sz w:val="20"/>
                <w:szCs w:val="20"/>
                <w:color w:val="auto"/>
              </w:rPr>
            </w:pPr>
            <w:r>
              <w:rPr>
                <w:rFonts w:ascii="Arial" w:cs="Arial" w:eastAsia="Arial" w:hAnsi="Arial"/>
                <w:sz w:val="11"/>
                <w:szCs w:val="11"/>
                <w:color w:val="auto"/>
              </w:rPr>
              <w:t>Cover Page Interactive Data File (formatted as Inline XBRL and contained in Exhibit 101)</w:t>
            </w:r>
          </w:p>
        </w:tc>
        <w:tc>
          <w:tcPr>
            <w:tcW w:w="264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85" w:lineRule="exact"/>
        <w:rPr>
          <w:sz w:val="20"/>
          <w:szCs w:val="20"/>
          <w:color w:val="auto"/>
        </w:rPr>
      </w:pPr>
    </w:p>
    <w:p>
      <w:pPr>
        <w:ind w:left="180" w:hanging="175"/>
        <w:spacing w:after="0"/>
        <w:tabs>
          <w:tab w:leader="none" w:pos="1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Filed herewith.</w:t>
      </w:r>
    </w:p>
    <w:p>
      <w:pPr>
        <w:spacing w:after="0" w:line="11" w:lineRule="exact"/>
        <w:rPr>
          <w:sz w:val="20"/>
          <w:szCs w:val="20"/>
          <w:color w:val="auto"/>
        </w:rPr>
      </w:pPr>
    </w:p>
    <w:p>
      <w:pPr>
        <w:ind w:left="220" w:hanging="215"/>
        <w:spacing w:after="0"/>
        <w:tabs>
          <w:tab w:leader="none" w:pos="2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Furnished herewith.</w:t>
      </w:r>
    </w:p>
    <w:p>
      <w:pPr>
        <w:spacing w:after="0" w:line="11" w:lineRule="exact"/>
        <w:rPr>
          <w:sz w:val="20"/>
          <w:szCs w:val="20"/>
          <w:color w:val="auto"/>
        </w:rPr>
      </w:pPr>
    </w:p>
    <w:p>
      <w:pPr>
        <w:ind w:left="200" w:hanging="195"/>
        <w:spacing w:after="0"/>
        <w:tabs>
          <w:tab w:leader="none" w:pos="2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Indicates management contract or compensatory plan.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color w:val="00497F"/>
        </w:rPr>
        <w:t>SIGNATURES</w:t>
      </w:r>
    </w:p>
    <w:p>
      <w:pPr>
        <w:spacing w:after="0" w:line="169"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GoHealth, Inc.</w:t>
      </w:r>
    </w:p>
    <w:p>
      <w:pPr>
        <w:spacing w:after="0" w:line="22"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(Registrant)</w:t>
      </w:r>
    </w:p>
    <w:p>
      <w:pPr>
        <w:spacing w:after="0" w:line="114"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August 15, 2022</w:t>
      </w:r>
      <w:r>
        <w:rPr>
          <w:sz w:val="20"/>
          <w:szCs w:val="20"/>
          <w:color w:val="auto"/>
        </w:rPr>
        <w:tab/>
      </w:r>
      <w:r>
        <w:rPr>
          <w:rFonts w:ascii="Arial" w:cs="Arial" w:eastAsia="Arial" w:hAnsi="Arial"/>
          <w:sz w:val="12"/>
          <w:szCs w:val="12"/>
          <w:color w:val="auto"/>
        </w:rPr>
        <w:t>By: /s/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19685</wp:posOffset>
            </wp:positionV>
            <wp:extent cx="334137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Vijay Kotte</w:t>
      </w:r>
    </w:p>
    <w:p>
      <w:pPr>
        <w:spacing w:after="0" w:line="18"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Chief Executive Officer</w:t>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3"/>
          <w:szCs w:val="13"/>
          <w:i w:val="1"/>
          <w:iCs w:val="1"/>
          <w:color w:val="auto"/>
        </w:rPr>
        <w:t>(Principal Executive Officer)</w:t>
      </w:r>
    </w:p>
    <w:p>
      <w:pPr>
        <w:spacing w:after="0" w:line="114"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August 15, 2022</w:t>
      </w:r>
      <w:r>
        <w:rPr>
          <w:sz w:val="20"/>
          <w:szCs w:val="20"/>
          <w:color w:val="auto"/>
        </w:rPr>
        <w:tab/>
      </w:r>
      <w:r>
        <w:rPr>
          <w:rFonts w:ascii="Arial" w:cs="Arial" w:eastAsia="Arial" w:hAnsi="Arial"/>
          <w:sz w:val="12"/>
          <w:szCs w:val="12"/>
          <w:color w:val="auto"/>
        </w:rPr>
        <w:t>By: /s/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19685</wp:posOffset>
            </wp:positionV>
            <wp:extent cx="334137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Jason Schulz</w:t>
      </w:r>
    </w:p>
    <w:p>
      <w:pPr>
        <w:spacing w:after="0" w:line="18"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Chief Financial Officer</w:t>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3"/>
          <w:szCs w:val="13"/>
          <w:i w:val="1"/>
          <w:iCs w:val="1"/>
          <w:color w:val="auto"/>
        </w:rPr>
        <w:t>(Principal Financial and Accounting Officer)</w:t>
      </w:r>
    </w:p>
    <w:p>
      <w:pPr>
        <w:spacing w:after="0" w:line="200" w:lineRule="exact"/>
        <w:rPr>
          <w:sz w:val="20"/>
          <w:szCs w:val="20"/>
          <w:color w:val="auto"/>
        </w:rPr>
      </w:pPr>
    </w:p>
    <w:p>
      <w:pPr>
        <w:spacing w:after="0" w:line="264" w:lineRule="exact"/>
        <w:rPr>
          <w:sz w:val="20"/>
          <w:szCs w:val="20"/>
          <w:color w:val="auto"/>
        </w:rPr>
      </w:pPr>
    </w:p>
    <w:tbl>
      <w:tblPr>
        <w:tblLayout w:type="fixed"/>
        <w:tblInd w:w="3760" w:type="dxa"/>
        <w:tblCellMar>
          <w:top w:w="0" w:type="dxa"/>
          <w:left w:w="0" w:type="dxa"/>
          <w:bottom w:w="0" w:type="dxa"/>
          <w:right w:w="0" w:type="dxa"/>
        </w:tblCellMar>
      </w:tblPr>
      <w:tr>
        <w:trPr>
          <w:trHeight w:val="159"/>
        </w:trPr>
        <w:tc>
          <w:tcPr>
            <w:tcW w:w="11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180" w:type="dxa"/>
            <w:vAlign w:val="bottom"/>
          </w:tcPr>
          <w:p>
            <w:pPr>
              <w:jc w:val="right"/>
              <w:spacing w:after="0"/>
              <w:rPr>
                <w:sz w:val="20"/>
                <w:szCs w:val="20"/>
                <w:color w:val="auto"/>
              </w:rPr>
            </w:pPr>
            <w:r>
              <w:rPr>
                <w:rFonts w:ascii="Arial" w:cs="Arial" w:eastAsia="Arial" w:hAnsi="Arial"/>
                <w:sz w:val="11"/>
                <w:szCs w:val="11"/>
                <w:color w:val="auto"/>
              </w:rPr>
              <w:t>46</w:t>
            </w:r>
          </w:p>
        </w:tc>
      </w:tr>
    </w:tbl>
    <w:p>
      <w:pPr>
        <w:sectPr>
          <w:pgSz w:w="11900" w:h="16838" w:orient="portrait"/>
          <w:cols w:equalWidth="0" w:num="1">
            <w:col w:w="10960"/>
          </w:cols>
          <w:pgMar w:left="300" w:top="1073" w:right="639" w:bottom="1440"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54" w:name="page155"/>
    <w:bookmarkEnd w:id="154"/>
    <w:p>
      <w:pPr>
        <w:jc w:val="right"/>
        <w:spacing w:after="0"/>
        <w:rPr>
          <w:sz w:val="20"/>
          <w:szCs w:val="20"/>
          <w:color w:val="auto"/>
        </w:rPr>
      </w:pPr>
      <w:r>
        <w:rPr>
          <w:rFonts w:ascii="Arial" w:cs="Arial" w:eastAsia="Arial" w:hAnsi="Arial"/>
          <w:sz w:val="13"/>
          <w:szCs w:val="13"/>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Vijay Kotte, certify that:</w:t>
      </w:r>
    </w:p>
    <w:p>
      <w:pPr>
        <w:spacing w:after="0" w:line="169" w:lineRule="exact"/>
        <w:rPr>
          <w:sz w:val="20"/>
          <w:szCs w:val="20"/>
          <w:color w:val="auto"/>
        </w:rPr>
      </w:pPr>
    </w:p>
    <w:p>
      <w:pPr>
        <w:ind w:left="760" w:hanging="373"/>
        <w:spacing w:after="0"/>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GoHealth, Inc.;</w:t>
      </w:r>
    </w:p>
    <w:p>
      <w:pPr>
        <w:spacing w:after="0" w:line="179" w:lineRule="exact"/>
        <w:rPr>
          <w:rFonts w:ascii="Arial" w:cs="Arial" w:eastAsia="Arial" w:hAnsi="Arial"/>
          <w:sz w:val="13"/>
          <w:szCs w:val="13"/>
          <w:color w:val="auto"/>
        </w:rPr>
      </w:pPr>
    </w:p>
    <w:p>
      <w:pPr>
        <w:ind w:left="760" w:right="480" w:hanging="373"/>
        <w:spacing w:after="0" w:line="266" w:lineRule="auto"/>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3"/>
          <w:szCs w:val="13"/>
          <w:color w:val="auto"/>
        </w:rPr>
      </w:pPr>
    </w:p>
    <w:p>
      <w:pPr>
        <w:ind w:left="760" w:right="120" w:hanging="373"/>
        <w:spacing w:after="0" w:line="283" w:lineRule="auto"/>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3"/>
          <w:szCs w:val="13"/>
          <w:color w:val="auto"/>
        </w:rPr>
      </w:pPr>
    </w:p>
    <w:p>
      <w:pPr>
        <w:ind w:left="760" w:right="80" w:hanging="373"/>
        <w:spacing w:after="0" w:line="283" w:lineRule="auto"/>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124" w:lineRule="exact"/>
        <w:rPr>
          <w:rFonts w:ascii="Arial" w:cs="Arial" w:eastAsia="Arial" w:hAnsi="Arial"/>
          <w:sz w:val="13"/>
          <w:szCs w:val="13"/>
          <w:color w:val="auto"/>
        </w:rPr>
      </w:pPr>
    </w:p>
    <w:p>
      <w:pPr>
        <w:ind w:left="1160" w:right="200" w:hanging="391"/>
        <w:spacing w:after="0" w:line="261" w:lineRule="auto"/>
        <w:tabs>
          <w:tab w:leader="none" w:pos="1156" w:val="left"/>
        </w:tabs>
        <w:numPr>
          <w:ilvl w:val="1"/>
          <w:numId w:val="1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3"/>
          <w:szCs w:val="13"/>
          <w:color w:val="auto"/>
        </w:rPr>
      </w:pPr>
    </w:p>
    <w:p>
      <w:pPr>
        <w:ind w:left="1140" w:hanging="371"/>
        <w:spacing w:after="0"/>
        <w:tabs>
          <w:tab w:leader="none" w:pos="11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[omitted];</w:t>
      </w:r>
    </w:p>
    <w:p>
      <w:pPr>
        <w:spacing w:after="0" w:line="168" w:lineRule="exact"/>
        <w:rPr>
          <w:rFonts w:ascii="Arial" w:cs="Arial" w:eastAsia="Arial" w:hAnsi="Arial"/>
          <w:sz w:val="13"/>
          <w:szCs w:val="13"/>
          <w:color w:val="auto"/>
        </w:rPr>
      </w:pPr>
    </w:p>
    <w:p>
      <w:pPr>
        <w:ind w:left="1160" w:right="20" w:hanging="391"/>
        <w:spacing w:after="0" w:line="283" w:lineRule="auto"/>
        <w:tabs>
          <w:tab w:leader="none" w:pos="1160" w:val="left"/>
        </w:tabs>
        <w:numPr>
          <w:ilvl w:val="1"/>
          <w:numId w:val="1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3"/>
          <w:szCs w:val="13"/>
          <w:color w:val="auto"/>
        </w:rPr>
      </w:pPr>
    </w:p>
    <w:p>
      <w:pPr>
        <w:ind w:left="1160" w:right="180" w:hanging="391"/>
        <w:spacing w:after="0" w:line="327" w:lineRule="auto"/>
        <w:tabs>
          <w:tab w:leader="none" w:pos="1156" w:val="left"/>
        </w:tabs>
        <w:numPr>
          <w:ilvl w:val="1"/>
          <w:numId w:val="1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2"/>
          <w:szCs w:val="12"/>
          <w:color w:val="auto"/>
        </w:rPr>
      </w:pPr>
    </w:p>
    <w:p>
      <w:pPr>
        <w:ind w:left="760" w:right="280" w:hanging="373"/>
        <w:spacing w:after="0" w:line="266" w:lineRule="auto"/>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3"/>
          <w:szCs w:val="13"/>
          <w:color w:val="auto"/>
        </w:rPr>
      </w:pPr>
    </w:p>
    <w:p>
      <w:pPr>
        <w:ind w:left="1160" w:right="580" w:hanging="391"/>
        <w:spacing w:after="0" w:line="266" w:lineRule="auto"/>
        <w:tabs>
          <w:tab w:leader="none" w:pos="1156" w:val="left"/>
        </w:tabs>
        <w:numPr>
          <w:ilvl w:val="1"/>
          <w:numId w:val="1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3"/>
          <w:szCs w:val="13"/>
          <w:color w:val="auto"/>
        </w:rPr>
      </w:pPr>
    </w:p>
    <w:p>
      <w:pPr>
        <w:ind w:left="1140" w:hanging="371"/>
        <w:spacing w:after="0"/>
        <w:tabs>
          <w:tab w:leader="none" w:pos="11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August 15,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Vijay Kotte</w:t>
      </w:r>
    </w:p>
    <w:p>
      <w:pPr>
        <w:spacing w:after="0" w:line="11"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pacing w:after="0" w:line="6"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904" w:right="3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3"/>
          <w:szCs w:val="13"/>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Jason Schulz, certify that:</w:t>
      </w:r>
    </w:p>
    <w:p>
      <w:pPr>
        <w:spacing w:after="0" w:line="169" w:lineRule="exact"/>
        <w:rPr>
          <w:sz w:val="20"/>
          <w:szCs w:val="20"/>
          <w:color w:val="auto"/>
        </w:rPr>
      </w:pPr>
    </w:p>
    <w:p>
      <w:pPr>
        <w:ind w:left="760" w:hanging="373"/>
        <w:spacing w:after="0"/>
        <w:tabs>
          <w:tab w:leader="none" w:pos="7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GoHealth, Inc.;</w:t>
      </w:r>
    </w:p>
    <w:p>
      <w:pPr>
        <w:spacing w:after="0" w:line="179" w:lineRule="exact"/>
        <w:rPr>
          <w:rFonts w:ascii="Arial" w:cs="Arial" w:eastAsia="Arial" w:hAnsi="Arial"/>
          <w:sz w:val="13"/>
          <w:szCs w:val="13"/>
          <w:color w:val="auto"/>
        </w:rPr>
      </w:pPr>
    </w:p>
    <w:p>
      <w:pPr>
        <w:ind w:left="760" w:right="480" w:hanging="373"/>
        <w:spacing w:after="0" w:line="266" w:lineRule="auto"/>
        <w:tabs>
          <w:tab w:leader="none" w:pos="7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3"/>
          <w:szCs w:val="13"/>
          <w:color w:val="auto"/>
        </w:rPr>
      </w:pPr>
    </w:p>
    <w:p>
      <w:pPr>
        <w:ind w:left="760" w:right="120" w:hanging="373"/>
        <w:spacing w:after="0" w:line="283" w:lineRule="auto"/>
        <w:tabs>
          <w:tab w:leader="none" w:pos="7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3"/>
          <w:szCs w:val="13"/>
          <w:color w:val="auto"/>
        </w:rPr>
      </w:pPr>
    </w:p>
    <w:p>
      <w:pPr>
        <w:ind w:left="760" w:right="80" w:hanging="373"/>
        <w:spacing w:after="0" w:line="283" w:lineRule="auto"/>
        <w:tabs>
          <w:tab w:leader="none" w:pos="7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124" w:lineRule="exact"/>
        <w:rPr>
          <w:rFonts w:ascii="Arial" w:cs="Arial" w:eastAsia="Arial" w:hAnsi="Arial"/>
          <w:sz w:val="13"/>
          <w:szCs w:val="13"/>
          <w:color w:val="auto"/>
        </w:rPr>
      </w:pPr>
    </w:p>
    <w:p>
      <w:pPr>
        <w:ind w:left="1160" w:right="200" w:hanging="391"/>
        <w:spacing w:after="0" w:line="261" w:lineRule="auto"/>
        <w:tabs>
          <w:tab w:leader="none" w:pos="1156"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3"/>
          <w:szCs w:val="13"/>
          <w:color w:val="auto"/>
        </w:rPr>
      </w:pPr>
    </w:p>
    <w:p>
      <w:pPr>
        <w:ind w:left="1140" w:hanging="371"/>
        <w:spacing w:after="0"/>
        <w:tabs>
          <w:tab w:leader="none" w:pos="11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[omitted];</w:t>
      </w:r>
    </w:p>
    <w:p>
      <w:pPr>
        <w:spacing w:after="0" w:line="168" w:lineRule="exact"/>
        <w:rPr>
          <w:rFonts w:ascii="Arial" w:cs="Arial" w:eastAsia="Arial" w:hAnsi="Arial"/>
          <w:sz w:val="13"/>
          <w:szCs w:val="13"/>
          <w:color w:val="auto"/>
        </w:rPr>
      </w:pPr>
    </w:p>
    <w:p>
      <w:pPr>
        <w:ind w:left="1160" w:right="20" w:hanging="391"/>
        <w:spacing w:after="0" w:line="283" w:lineRule="auto"/>
        <w:tabs>
          <w:tab w:leader="none" w:pos="11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3"/>
          <w:szCs w:val="13"/>
          <w:color w:val="auto"/>
        </w:rPr>
      </w:pPr>
    </w:p>
    <w:p>
      <w:pPr>
        <w:ind w:left="1160" w:right="180" w:hanging="391"/>
        <w:spacing w:after="0" w:line="327" w:lineRule="auto"/>
        <w:tabs>
          <w:tab w:leader="none" w:pos="1156" w:val="left"/>
        </w:tabs>
        <w:numPr>
          <w:ilvl w:val="1"/>
          <w:numId w:val="1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2"/>
          <w:szCs w:val="12"/>
          <w:color w:val="auto"/>
        </w:rPr>
      </w:pPr>
    </w:p>
    <w:p>
      <w:pPr>
        <w:ind w:left="760" w:right="280" w:hanging="373"/>
        <w:spacing w:after="0" w:line="266" w:lineRule="auto"/>
        <w:tabs>
          <w:tab w:leader="none" w:pos="7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3"/>
          <w:szCs w:val="13"/>
          <w:color w:val="auto"/>
        </w:rPr>
      </w:pPr>
    </w:p>
    <w:p>
      <w:pPr>
        <w:ind w:left="1160" w:right="580" w:hanging="391"/>
        <w:spacing w:after="0" w:line="266" w:lineRule="auto"/>
        <w:tabs>
          <w:tab w:leader="none" w:pos="1156" w:val="left"/>
        </w:tabs>
        <w:numPr>
          <w:ilvl w:val="1"/>
          <w:numId w:val="1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3"/>
          <w:szCs w:val="13"/>
          <w:color w:val="auto"/>
        </w:rPr>
      </w:pPr>
    </w:p>
    <w:p>
      <w:pPr>
        <w:ind w:left="1140" w:hanging="371"/>
        <w:spacing w:after="0"/>
        <w:tabs>
          <w:tab w:leader="none" w:pos="11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August 15,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Jason Schulz</w:t>
      </w:r>
    </w:p>
    <w:p>
      <w:pPr>
        <w:spacing w:after="0" w:line="11"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Financial Officer</w:t>
      </w:r>
    </w:p>
    <w:p>
      <w:pPr>
        <w:spacing w:after="0" w:line="6"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Financial and Accounting Officer)</w:t>
      </w:r>
    </w:p>
    <w:p>
      <w:pPr>
        <w:sectPr>
          <w:pgSz w:w="11900" w:h="16838" w:orient="portrait"/>
          <w:cols w:equalWidth="0" w:num="1">
            <w:col w:w="11280"/>
          </w:cols>
          <w:pgMar w:left="300" w:top="904" w:right="3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3"/>
          <w:szCs w:val="13"/>
          <w:b w:val="1"/>
          <w:bCs w:val="1"/>
          <w:color w:val="auto"/>
        </w:rPr>
        <w:t>Exhibit 32.1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52"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41"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79"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In connection with the Quarterly Report on Form 10-Q of GoHealth, Inc. (the “Company”) for the period ended June 30, 2022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760" w:hanging="437"/>
        <w:spacing w:after="0"/>
        <w:tabs>
          <w:tab w:leader="none" w:pos="7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79" w:lineRule="exact"/>
        <w:rPr>
          <w:rFonts w:ascii="Arial" w:cs="Arial" w:eastAsia="Arial" w:hAnsi="Arial"/>
          <w:sz w:val="13"/>
          <w:szCs w:val="13"/>
          <w:color w:val="auto"/>
        </w:rPr>
      </w:pPr>
    </w:p>
    <w:p>
      <w:pPr>
        <w:ind w:left="760" w:hanging="437"/>
        <w:spacing w:after="0"/>
        <w:tabs>
          <w:tab w:leader="none" w:pos="7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August 15,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Vijay Kotte</w:t>
      </w:r>
    </w:p>
    <w:p>
      <w:pPr>
        <w:spacing w:after="0" w:line="18"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903" w:right="3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3"/>
          <w:szCs w:val="13"/>
          <w:b w:val="1"/>
          <w:bCs w:val="1"/>
          <w:color w:val="auto"/>
        </w:rPr>
        <w:t>Exhibit 32.2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52"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41"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79"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In connection with the Quarterly Report on Form 10-Q of GoHealth, Inc. (the “Company”) for the period ended June 30, 2022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760" w:hanging="437"/>
        <w:spacing w:after="0"/>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79" w:lineRule="exact"/>
        <w:rPr>
          <w:rFonts w:ascii="Arial" w:cs="Arial" w:eastAsia="Arial" w:hAnsi="Arial"/>
          <w:sz w:val="13"/>
          <w:szCs w:val="13"/>
          <w:color w:val="auto"/>
        </w:rPr>
      </w:pPr>
    </w:p>
    <w:p>
      <w:pPr>
        <w:ind w:left="760" w:hanging="437"/>
        <w:spacing w:after="0"/>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August 15,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Jason Schulz</w:t>
      </w:r>
    </w:p>
    <w:p>
      <w:pPr>
        <w:spacing w:after="0" w:line="18"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Financial Officer</w:t>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Financial and Accounting Officer)</w:t>
      </w:r>
    </w:p>
    <w:sectPr>
      <w:pgSz w:w="11900" w:h="16838" w:orient="portrait"/>
      <w:cols w:equalWidth="0" w:num="1">
        <w:col w:w="11280"/>
      </w:cols>
      <w:pgMar w:left="300" w:top="90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1"/>
    </w:lvl>
  </w:abstractNum>
  <w:abstractNum w:abstractNumId="11">
    <w:nsid w:val="4E6AFB66"/>
    <w:multiLevelType w:val="hybridMultilevel"/>
    <w:lvl w:ilvl="0">
      <w:lvlJc w:val="left"/>
      <w:lvlText w:val="%1."/>
      <w:numFmt w:val="decimal"/>
      <w:start w:val="13"/>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2"/>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169" Type="http://schemas.openxmlformats.org/officeDocument/2006/relationships/hyperlink" Target="https://www.sec.gov/Archives/edgar/data/1808220/000119312520224832/d935246dex31.htm" TargetMode="External"/><Relationship Id="rId170" Type="http://schemas.openxmlformats.org/officeDocument/2006/relationships/hyperlink" Target="https://www.sec.gov/Archives/edgar/data/1808220/000119312520224832/d935246dex32.htm" TargetMode="External"/><Relationship Id="rId171" Type="http://schemas.openxmlformats.org/officeDocument/2006/relationships/hyperlink" Target="https://www.sec.gov/Archives/edgar/data/1808220/000119312520173051/d797183dex41.htm" TargetMode="External"/><Relationship Id="rId172" Type="http://schemas.openxmlformats.org/officeDocument/2006/relationships/hyperlink" Target="https://www.sec.gov/Archives/edgar/data/1808220/000119312522168376/d365724dex994.htm" TargetMode="External"/><Relationship Id="rId173" Type="http://schemas.openxmlformats.org/officeDocument/2006/relationships/hyperlink" Target="https://www.sec.gov/Archives/edgar/data/1808220/000119312522168376/d365724dex996.htm" TargetMode="External"/><Relationship Id="rId174" Type="http://schemas.openxmlformats.org/officeDocument/2006/relationships/hyperlink" Target="https://www.sec.gov/Archives/edgar/data/1808220/000119312522168376/d365724dex997.htm" TargetMode="External"/><Relationship Id="rId175" Type="http://schemas.openxmlformats.org/officeDocument/2006/relationships/hyperlink" Target="https://www.sec.gov/Archives/edgar/data/1808220/000119312522168376/d365724dex998.htm" TargetMode="External"/><Relationship Id="rId176" Type="http://schemas.openxmlformats.org/officeDocument/2006/relationships/hyperlink" Target="https://www.sec.gov/Archives/edgar/data/0001808220/000119312522076947/d229647dex101.htm" TargetMode="External"/><Relationship Id="rId177" Type="http://schemas.openxmlformats.org/officeDocument/2006/relationships/hyperlink" Target="https://www.sec.gov/Archives/edgar/data/0001808220/000119312522221229/d291134dex101.htm" TargetMode="External"/><Relationship Id="rId178" Type="http://schemas.openxmlformats.org/officeDocument/2006/relationships/hyperlink" Target="https://www.sec.gov/Archives/edgar/data/1808220/000180822022000049/exhibit102.htm" TargetMode="External"/><Relationship Id="rId179" Type="http://schemas.openxmlformats.org/officeDocument/2006/relationships/hyperlink" Target="https://www.sec.gov/Archives/edgar/data/1808220/000180822022000049/exhibit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2022-08-16T06:21:05Z</dcterms:created>
  <dcterms:modified xsi:type="dcterms:W3CDTF">2022-08-16T06:21:05Z</dcterms:modified>
</cp:coreProperties>
</file>