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312"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6" w:lineRule="exact"/>
        <w:rPr>
          <w:sz w:val="24"/>
          <w:szCs w:val="24"/>
          <w:color w:val="auto"/>
        </w:rPr>
      </w:pPr>
    </w:p>
    <w:p>
      <w:pPr>
        <w:ind w:left="400" w:hanging="374"/>
        <w:spacing w:after="0" w:line="274" w:lineRule="auto"/>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 the quarterly period ended September 30, 2021</w:t>
      </w:r>
    </w:p>
    <w:p>
      <w:pPr>
        <w:spacing w:after="0" w:line="9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hanging="374"/>
        <w:spacing w:after="0" w:line="274"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52" w:lineRule="exact"/>
        <w:rPr>
          <w:sz w:val="24"/>
          <w:szCs w:val="24"/>
          <w:color w:val="auto"/>
        </w:rPr>
      </w:pPr>
    </w:p>
    <w:tbl>
      <w:tblPr>
        <w:tblLayout w:type="fixed"/>
        <w:tblInd w:w="720" w:type="dxa"/>
        <w:tblCellMar>
          <w:top w:w="0" w:type="dxa"/>
          <w:left w:w="0" w:type="dxa"/>
          <w:bottom w:w="0" w:type="dxa"/>
          <w:right w:w="0" w:type="dxa"/>
        </w:tblCellMar>
      </w:tblPr>
      <w:tr>
        <w:trPr>
          <w:trHeight w:val="190"/>
        </w:trPr>
        <w:tc>
          <w:tcPr>
            <w:tcW w:w="4260" w:type="dxa"/>
            <w:vAlign w:val="bottom"/>
          </w:tcPr>
          <w:p>
            <w:pPr>
              <w:jc w:val="center"/>
              <w:ind w:right="24"/>
              <w:spacing w:after="0"/>
              <w:rPr>
                <w:sz w:val="20"/>
                <w:szCs w:val="20"/>
                <w:color w:val="auto"/>
              </w:rPr>
            </w:pPr>
            <w:r>
              <w:rPr>
                <w:rFonts w:ascii="Arial" w:cs="Arial" w:eastAsia="Arial" w:hAnsi="Arial"/>
                <w:sz w:val="14"/>
                <w:szCs w:val="14"/>
                <w:b w:val="1"/>
                <w:bCs w:val="1"/>
                <w:color w:val="auto"/>
              </w:rPr>
              <w:t>Delaware</w:t>
            </w:r>
          </w:p>
        </w:tc>
        <w:tc>
          <w:tcPr>
            <w:tcW w:w="4660" w:type="dxa"/>
            <w:vAlign w:val="bottom"/>
          </w:tcPr>
          <w:p>
            <w:pPr>
              <w:jc w:val="center"/>
              <w:ind w:left="2103"/>
              <w:spacing w:after="0"/>
              <w:rPr>
                <w:sz w:val="20"/>
                <w:szCs w:val="20"/>
                <w:color w:val="auto"/>
              </w:rPr>
            </w:pPr>
            <w:r>
              <w:rPr>
                <w:rFonts w:ascii="Arial" w:cs="Arial" w:eastAsia="Arial" w:hAnsi="Arial"/>
                <w:sz w:val="14"/>
                <w:szCs w:val="14"/>
                <w:b w:val="1"/>
                <w:bCs w:val="1"/>
                <w:color w:val="auto"/>
              </w:rPr>
              <w:t>85-0563805</w:t>
            </w:r>
          </w:p>
        </w:tc>
      </w:tr>
      <w:tr>
        <w:trPr>
          <w:trHeight w:val="235"/>
        </w:trPr>
        <w:tc>
          <w:tcPr>
            <w:tcW w:w="4260" w:type="dxa"/>
            <w:vAlign w:val="bottom"/>
          </w:tcPr>
          <w:p>
            <w:pPr>
              <w:jc w:val="center"/>
              <w:ind w:right="4"/>
              <w:spacing w:after="0"/>
              <w:rPr>
                <w:sz w:val="20"/>
                <w:szCs w:val="20"/>
                <w:color w:val="auto"/>
              </w:rPr>
            </w:pPr>
            <w:r>
              <w:rPr>
                <w:rFonts w:ascii="Arial" w:cs="Arial" w:eastAsia="Arial" w:hAnsi="Arial"/>
                <w:sz w:val="16"/>
                <w:szCs w:val="16"/>
                <w:color w:val="auto"/>
              </w:rPr>
              <w:t>(State or other jurisdiction of incorporation or organization)</w:t>
            </w:r>
          </w:p>
        </w:tc>
        <w:tc>
          <w:tcPr>
            <w:tcW w:w="4660" w:type="dxa"/>
            <w:vAlign w:val="bottom"/>
          </w:tcPr>
          <w:p>
            <w:pPr>
              <w:jc w:val="center"/>
              <w:ind w:left="2103"/>
              <w:spacing w:after="0"/>
              <w:rPr>
                <w:sz w:val="20"/>
                <w:szCs w:val="20"/>
                <w:color w:val="auto"/>
              </w:rPr>
            </w:pPr>
            <w:r>
              <w:rPr>
                <w:rFonts w:ascii="Arial" w:cs="Arial" w:eastAsia="Arial" w:hAnsi="Arial"/>
                <w:sz w:val="16"/>
                <w:szCs w:val="16"/>
                <w:color w:val="auto"/>
              </w:rPr>
              <w:t>(I.R.S. Employer Identification No.)</w:t>
            </w:r>
          </w:p>
        </w:tc>
      </w:tr>
      <w:tr>
        <w:trPr>
          <w:trHeight w:val="494"/>
        </w:trPr>
        <w:tc>
          <w:tcPr>
            <w:tcW w:w="4260" w:type="dxa"/>
            <w:vAlign w:val="bottom"/>
          </w:tcPr>
          <w:p>
            <w:pPr>
              <w:jc w:val="center"/>
              <w:ind w:right="84"/>
              <w:spacing w:after="0"/>
              <w:rPr>
                <w:sz w:val="20"/>
                <w:szCs w:val="20"/>
                <w:color w:val="auto"/>
              </w:rPr>
            </w:pPr>
            <w:r>
              <w:rPr>
                <w:rFonts w:ascii="Arial" w:cs="Arial" w:eastAsia="Arial" w:hAnsi="Arial"/>
                <w:sz w:val="14"/>
                <w:szCs w:val="14"/>
                <w:b w:val="1"/>
                <w:bCs w:val="1"/>
                <w:color w:val="auto"/>
              </w:rPr>
              <w:t>214 West Huron St.</w:t>
            </w:r>
          </w:p>
        </w:tc>
        <w:tc>
          <w:tcPr>
            <w:tcW w:w="4660" w:type="dxa"/>
            <w:vAlign w:val="bottom"/>
          </w:tcPr>
          <w:p>
            <w:pPr>
              <w:spacing w:after="0"/>
              <w:rPr>
                <w:sz w:val="24"/>
                <w:szCs w:val="24"/>
                <w:color w:val="auto"/>
              </w:rPr>
            </w:pPr>
          </w:p>
        </w:tc>
      </w:tr>
      <w:tr>
        <w:trPr>
          <w:trHeight w:val="256"/>
        </w:trPr>
        <w:tc>
          <w:tcPr>
            <w:tcW w:w="4260" w:type="dxa"/>
            <w:vAlign w:val="bottom"/>
          </w:tcPr>
          <w:p>
            <w:pPr>
              <w:ind w:left="1460"/>
              <w:spacing w:after="0"/>
              <w:rPr>
                <w:sz w:val="20"/>
                <w:szCs w:val="20"/>
                <w:color w:val="auto"/>
              </w:rPr>
            </w:pPr>
            <w:r>
              <w:rPr>
                <w:rFonts w:ascii="Arial" w:cs="Arial" w:eastAsia="Arial" w:hAnsi="Arial"/>
                <w:sz w:val="14"/>
                <w:szCs w:val="14"/>
                <w:b w:val="1"/>
                <w:bCs w:val="1"/>
                <w:color w:val="auto"/>
              </w:rPr>
              <w:t>Chicago, Illinois</w:t>
            </w:r>
          </w:p>
        </w:tc>
        <w:tc>
          <w:tcPr>
            <w:tcW w:w="4660" w:type="dxa"/>
            <w:vAlign w:val="bottom"/>
          </w:tcPr>
          <w:p>
            <w:pPr>
              <w:jc w:val="center"/>
              <w:ind w:left="2103"/>
              <w:spacing w:after="0"/>
              <w:rPr>
                <w:sz w:val="20"/>
                <w:szCs w:val="20"/>
                <w:color w:val="auto"/>
              </w:rPr>
            </w:pPr>
            <w:r>
              <w:rPr>
                <w:rFonts w:ascii="Arial" w:cs="Arial" w:eastAsia="Arial" w:hAnsi="Arial"/>
                <w:sz w:val="14"/>
                <w:szCs w:val="14"/>
                <w:b w:val="1"/>
                <w:bCs w:val="1"/>
                <w:color w:val="auto"/>
              </w:rPr>
              <w:t>60654</w:t>
            </w:r>
          </w:p>
        </w:tc>
      </w:tr>
      <w:tr>
        <w:trPr>
          <w:trHeight w:val="235"/>
        </w:trPr>
        <w:tc>
          <w:tcPr>
            <w:tcW w:w="4260" w:type="dxa"/>
            <w:vAlign w:val="bottom"/>
          </w:tcPr>
          <w:p>
            <w:pPr>
              <w:jc w:val="center"/>
              <w:ind w:right="64"/>
              <w:spacing w:after="0"/>
              <w:rPr>
                <w:sz w:val="20"/>
                <w:szCs w:val="20"/>
                <w:color w:val="auto"/>
              </w:rPr>
            </w:pPr>
            <w:r>
              <w:rPr>
                <w:rFonts w:ascii="Arial" w:cs="Arial" w:eastAsia="Arial" w:hAnsi="Arial"/>
                <w:sz w:val="16"/>
                <w:szCs w:val="16"/>
                <w:color w:val="auto"/>
              </w:rPr>
              <w:t>(Address of principal executive offices)</w:t>
            </w:r>
          </w:p>
        </w:tc>
        <w:tc>
          <w:tcPr>
            <w:tcW w:w="4660" w:type="dxa"/>
            <w:vAlign w:val="bottom"/>
          </w:tcPr>
          <w:p>
            <w:pPr>
              <w:jc w:val="center"/>
              <w:ind w:left="2083"/>
              <w:spacing w:after="0"/>
              <w:rPr>
                <w:sz w:val="20"/>
                <w:szCs w:val="20"/>
                <w:color w:val="auto"/>
              </w:rPr>
            </w:pPr>
            <w:r>
              <w:rPr>
                <w:rFonts w:ascii="Arial" w:cs="Arial" w:eastAsia="Arial" w:hAnsi="Arial"/>
                <w:sz w:val="16"/>
                <w:szCs w:val="16"/>
                <w:color w:val="auto"/>
              </w:rPr>
              <w:t>(Zip Code)</w:t>
            </w:r>
          </w:p>
        </w:tc>
      </w:tr>
      <w:tr>
        <w:trPr>
          <w:trHeight w:val="405"/>
        </w:trPr>
        <w:tc>
          <w:tcPr>
            <w:tcW w:w="4260" w:type="dxa"/>
            <w:vAlign w:val="bottom"/>
          </w:tcPr>
          <w:p>
            <w:pPr>
              <w:spacing w:after="0"/>
              <w:rPr>
                <w:sz w:val="24"/>
                <w:szCs w:val="24"/>
                <w:color w:val="auto"/>
              </w:rPr>
            </w:pPr>
          </w:p>
        </w:tc>
        <w:tc>
          <w:tcPr>
            <w:tcW w:w="4660" w:type="dxa"/>
            <w:vAlign w:val="bottom"/>
          </w:tcPr>
          <w:p>
            <w:pPr>
              <w:jc w:val="right"/>
              <w:ind w:right="3383"/>
              <w:spacing w:after="0"/>
              <w:rPr>
                <w:sz w:val="20"/>
                <w:szCs w:val="20"/>
                <w:color w:val="auto"/>
              </w:rPr>
            </w:pPr>
            <w:r>
              <w:rPr>
                <w:rFonts w:ascii="Arial" w:cs="Arial" w:eastAsia="Arial" w:hAnsi="Arial"/>
                <w:sz w:val="16"/>
                <w:szCs w:val="16"/>
                <w:b w:val="1"/>
                <w:bCs w:val="1"/>
                <w:color w:val="auto"/>
              </w:rPr>
              <w:t>(312) 386-8200</w:t>
            </w:r>
          </w:p>
        </w:tc>
      </w:tr>
    </w:tbl>
    <w:p>
      <w:pPr>
        <w:spacing w:after="0" w:line="10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24" w:lineRule="exact"/>
        <w:rPr>
          <w:sz w:val="20"/>
          <w:szCs w:val="20"/>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6" w:lineRule="exact"/>
        <w:rPr>
          <w:sz w:val="20"/>
          <w:szCs w:val="20"/>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3340" w:type="dxa"/>
            <w:vAlign w:val="bottom"/>
          </w:tcPr>
          <w:p>
            <w:pPr>
              <w:spacing w:after="0"/>
              <w:rPr>
                <w:sz w:val="20"/>
                <w:szCs w:val="20"/>
                <w:color w:val="auto"/>
              </w:rPr>
            </w:pPr>
            <w:r>
              <w:rPr>
                <w:rFonts w:ascii="Arial" w:cs="Arial" w:eastAsia="Arial" w:hAnsi="Arial"/>
                <w:sz w:val="16"/>
                <w:szCs w:val="16"/>
                <w:color w:val="auto"/>
              </w:rPr>
              <w:t>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spacing w:after="0"/>
              <w:rPr>
                <w:sz w:val="22"/>
                <w:szCs w:val="22"/>
                <w:color w:val="auto"/>
              </w:rPr>
            </w:pPr>
          </w:p>
        </w:tc>
        <w:tc>
          <w:tcPr>
            <w:tcW w:w="1720" w:type="dxa"/>
            <w:vAlign w:val="bottom"/>
          </w:tcPr>
          <w:p>
            <w:pPr>
              <w:spacing w:after="0"/>
              <w:rPr>
                <w:sz w:val="22"/>
                <w:szCs w:val="22"/>
                <w:color w:val="auto"/>
              </w:rPr>
            </w:pPr>
          </w:p>
        </w:tc>
      </w:tr>
    </w:tbl>
    <w:p>
      <w:pPr>
        <w:spacing w:after="0" w:line="192"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44" w:lineRule="exact"/>
        <w:rPr>
          <w:sz w:val="20"/>
          <w:szCs w:val="20"/>
          <w:color w:val="auto"/>
        </w:rPr>
      </w:pPr>
    </w:p>
    <w:p>
      <w:pPr>
        <w:spacing w:after="0" w:line="184" w:lineRule="exact"/>
        <w:tabs>
          <w:tab w:leader="none" w:pos="8260" w:val="left"/>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5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As of November 2, 2021, the registrant had 114,773,928 shares of Class A common stock, $0.0001 par value per share, outstanding and 205,934,452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414020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3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0" w:type="dxa"/>
            <w:vAlign w:val="bottom"/>
            <w:gridSpan w:val="11"/>
          </w:tcPr>
          <w:p>
            <w:pPr>
              <w:jc w:val="center"/>
              <w:ind w:right="294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5"/>
          </w:tcPr>
          <w:p>
            <w:pPr>
              <w:ind w:left="380"/>
              <w:spacing w:after="0"/>
              <w:rPr>
                <w:sz w:val="20"/>
                <w:szCs w:val="20"/>
                <w:color w:val="auto"/>
              </w:rPr>
            </w:pPr>
            <w:r>
              <w:rPr>
                <w:rFonts w:ascii="Arial" w:cs="Arial" w:eastAsia="Arial" w:hAnsi="Arial"/>
                <w:sz w:val="16"/>
                <w:szCs w:val="16"/>
                <w:color w:val="auto"/>
              </w:rPr>
              <w:t>PAGE</w:t>
            </w:r>
          </w:p>
        </w:tc>
      </w:tr>
      <w:tr>
        <w:trPr>
          <w:trHeight w:val="219"/>
        </w:trPr>
        <w:tc>
          <w:tcPr>
            <w:tcW w:w="1240" w:type="dxa"/>
            <w:vAlign w:val="bottom"/>
            <w:shd w:val="clear" w:color="auto" w:fill="00497F"/>
          </w:tcPr>
          <w:p>
            <w:pPr>
              <w:spacing w:after="0"/>
              <w:rPr>
                <w:sz w:val="19"/>
                <w:szCs w:val="19"/>
                <w:color w:val="auto"/>
              </w:rPr>
            </w:pPr>
          </w:p>
        </w:tc>
        <w:tc>
          <w:tcPr>
            <w:tcW w:w="220" w:type="dxa"/>
            <w:vAlign w:val="bottom"/>
            <w:shd w:val="clear" w:color="auto" w:fill="00497F"/>
          </w:tcPr>
          <w:p>
            <w:pPr>
              <w:spacing w:after="0"/>
              <w:rPr>
                <w:sz w:val="19"/>
                <w:szCs w:val="19"/>
                <w:color w:val="auto"/>
              </w:rPr>
            </w:pPr>
          </w:p>
        </w:tc>
        <w:tc>
          <w:tcPr>
            <w:tcW w:w="560" w:type="dxa"/>
            <w:vAlign w:val="bottom"/>
            <w:shd w:val="clear" w:color="auto" w:fill="00497F"/>
          </w:tcPr>
          <w:p>
            <w:pPr>
              <w:spacing w:after="0"/>
              <w:rPr>
                <w:sz w:val="19"/>
                <w:szCs w:val="19"/>
                <w:color w:val="auto"/>
              </w:rPr>
            </w:pPr>
          </w:p>
        </w:tc>
        <w:tc>
          <w:tcPr>
            <w:tcW w:w="260" w:type="dxa"/>
            <w:vAlign w:val="bottom"/>
            <w:shd w:val="clear" w:color="auto" w:fill="00497F"/>
          </w:tcPr>
          <w:p>
            <w:pPr>
              <w:spacing w:after="0"/>
              <w:rPr>
                <w:sz w:val="19"/>
                <w:szCs w:val="19"/>
                <w:color w:val="auto"/>
              </w:rPr>
            </w:pPr>
          </w:p>
        </w:tc>
        <w:tc>
          <w:tcPr>
            <w:tcW w:w="200" w:type="dxa"/>
            <w:vAlign w:val="bottom"/>
            <w:shd w:val="clear" w:color="auto" w:fill="00497F"/>
          </w:tcPr>
          <w:p>
            <w:pPr>
              <w:spacing w:after="0"/>
              <w:rPr>
                <w:sz w:val="19"/>
                <w:szCs w:val="19"/>
                <w:color w:val="auto"/>
              </w:rPr>
            </w:pPr>
          </w:p>
        </w:tc>
        <w:tc>
          <w:tcPr>
            <w:tcW w:w="54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180" w:type="dxa"/>
            <w:vAlign w:val="bottom"/>
            <w:shd w:val="clear" w:color="auto" w:fill="00497F"/>
          </w:tcPr>
          <w:p>
            <w:pPr>
              <w:spacing w:after="0"/>
              <w:rPr>
                <w:sz w:val="19"/>
                <w:szCs w:val="19"/>
                <w:color w:val="auto"/>
              </w:rPr>
            </w:pPr>
          </w:p>
        </w:tc>
        <w:tc>
          <w:tcPr>
            <w:tcW w:w="340" w:type="dxa"/>
            <w:vAlign w:val="bottom"/>
            <w:shd w:val="clear" w:color="auto" w:fill="00497F"/>
          </w:tcPr>
          <w:p>
            <w:pPr>
              <w:spacing w:after="0"/>
              <w:rPr>
                <w:sz w:val="19"/>
                <w:szCs w:val="19"/>
                <w:color w:val="auto"/>
              </w:rPr>
            </w:pPr>
          </w:p>
        </w:tc>
        <w:tc>
          <w:tcPr>
            <w:tcW w:w="180" w:type="dxa"/>
            <w:vAlign w:val="bottom"/>
            <w:shd w:val="clear" w:color="auto" w:fill="00497F"/>
          </w:tcPr>
          <w:p>
            <w:pPr>
              <w:spacing w:after="0"/>
              <w:rPr>
                <w:sz w:val="19"/>
                <w:szCs w:val="19"/>
                <w:color w:val="auto"/>
              </w:rPr>
            </w:pPr>
          </w:p>
        </w:tc>
        <w:tc>
          <w:tcPr>
            <w:tcW w:w="440" w:type="dxa"/>
            <w:vAlign w:val="bottom"/>
            <w:shd w:val="clear" w:color="auto" w:fill="00497F"/>
          </w:tcPr>
          <w:p>
            <w:pPr>
              <w:spacing w:after="0"/>
              <w:rPr>
                <w:sz w:val="19"/>
                <w:szCs w:val="19"/>
                <w:color w:val="auto"/>
              </w:rPr>
            </w:pPr>
          </w:p>
        </w:tc>
        <w:tc>
          <w:tcPr>
            <w:tcW w:w="5800" w:type="dxa"/>
            <w:vAlign w:val="bottom"/>
            <w:gridSpan w:val="11"/>
            <w:shd w:val="clear" w:color="auto" w:fill="00497F"/>
          </w:tcPr>
          <w:p>
            <w:pPr>
              <w:jc w:val="center"/>
              <w:ind w:right="2960"/>
              <w:spacing w:after="0"/>
              <w:rPr>
                <w:sz w:val="20"/>
                <w:szCs w:val="20"/>
                <w:color w:val="auto"/>
              </w:rPr>
            </w:pPr>
            <w:r>
              <w:rPr>
                <w:rFonts w:ascii="Arial" w:cs="Arial" w:eastAsia="Arial" w:hAnsi="Arial"/>
                <w:sz w:val="16"/>
                <w:szCs w:val="16"/>
                <w:b w:val="1"/>
                <w:bCs w:val="1"/>
                <w:color w:val="FFFFFF"/>
              </w:rPr>
              <w:t>PART I - FINANCIAL INFORMATION</w:t>
            </w:r>
          </w:p>
        </w:tc>
        <w:tc>
          <w:tcPr>
            <w:tcW w:w="50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100" w:type="dxa"/>
            <w:vAlign w:val="bottom"/>
            <w:shd w:val="clear" w:color="auto" w:fill="00497F"/>
          </w:tcPr>
          <w:p>
            <w:pPr>
              <w:spacing w:after="0"/>
              <w:rPr>
                <w:sz w:val="19"/>
                <w:szCs w:val="19"/>
                <w:color w:val="auto"/>
              </w:rPr>
            </w:pPr>
          </w:p>
        </w:tc>
        <w:tc>
          <w:tcPr>
            <w:tcW w:w="40" w:type="dxa"/>
            <w:vAlign w:val="bottom"/>
            <w:shd w:val="clear" w:color="auto" w:fill="00497F"/>
          </w:tcPr>
          <w:p>
            <w:pPr>
              <w:spacing w:after="0"/>
              <w:rPr>
                <w:sz w:val="19"/>
                <w:szCs w:val="19"/>
                <w:color w:val="auto"/>
              </w:rPr>
            </w:pPr>
          </w:p>
        </w:tc>
        <w:tc>
          <w:tcPr>
            <w:tcW w:w="560" w:type="dxa"/>
            <w:vAlign w:val="bottom"/>
            <w:shd w:val="clear" w:color="auto" w:fill="00497F"/>
          </w:tcPr>
          <w:p>
            <w:pPr>
              <w:spacing w:after="0"/>
              <w:rPr>
                <w:sz w:val="19"/>
                <w:szCs w:val="19"/>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760" w:type="dxa"/>
            <w:vAlign w:val="bottom"/>
            <w:gridSpan w:val="21"/>
          </w:tcPr>
          <w:p>
            <w:pPr>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FINANCIAL STATEMENTS.</w:t>
              </w:r>
            </w:hyperlink>
          </w:p>
        </w:tc>
        <w:tc>
          <w:tcPr>
            <w:tcW w:w="680" w:type="dxa"/>
            <w:vAlign w:val="bottom"/>
            <w:gridSpan w:val="4"/>
          </w:tcPr>
          <w:p>
            <w:pPr>
              <w:jc w:val="center"/>
              <w:ind w:left="419"/>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56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FINANCIAL STATEMENTS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rPr>
                <w:rFonts w:ascii="Arial" w:cs="Arial" w:eastAsia="Arial" w:hAnsi="Arial"/>
                <w:sz w:val="16"/>
                <w:szCs w:val="16"/>
                <w:color w:val="0000FF"/>
                <w:w w:val="99"/>
              </w:rPr>
            </w:pPr>
            <w:hyperlink w:anchor="page7">
              <w:r>
                <w:rPr>
                  <w:rFonts w:ascii="Arial" w:cs="Arial" w:eastAsia="Arial" w:hAnsi="Arial"/>
                  <w:sz w:val="16"/>
                  <w:szCs w:val="16"/>
                  <w:color w:val="0000FF"/>
                  <w:w w:val="99"/>
                </w:rPr>
                <w:t>CONDENSED CONSOLIDATED STATEMENTS OF OPERATIONS</w:t>
              </w:r>
            </w:hyperlink>
          </w:p>
        </w:tc>
        <w:tc>
          <w:tcPr>
            <w:tcW w:w="37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7">
              <w:r>
                <w:rPr>
                  <w:rFonts w:ascii="Arial" w:cs="Arial" w:eastAsia="Arial" w:hAnsi="Arial"/>
                  <w:sz w:val="16"/>
                  <w:szCs w:val="16"/>
                  <w:color w:val="0000FF"/>
                </w:rPr>
                <w:t>4</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COMPREHENSIVE INCOME (LOSS)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BALANCE SHEETS</w:t>
              </w:r>
            </w:hyperlink>
          </w:p>
        </w:tc>
        <w:tc>
          <w:tcPr>
            <w:tcW w:w="2620" w:type="dxa"/>
            <w:vAlign w:val="bottom"/>
            <w:tcBorders>
              <w:top w:val="single" w:sz="8" w:color="0000FF"/>
            </w:tcBorders>
            <w:gridSpan w:val="7"/>
          </w:tcPr>
          <w:p>
            <w:pPr>
              <w:spacing w:after="0"/>
              <w:rPr>
                <w:sz w:val="17"/>
                <w:szCs w:val="17"/>
                <w:color w:val="auto"/>
              </w:rPr>
            </w:pPr>
          </w:p>
        </w:tc>
        <w:tc>
          <w:tcPr>
            <w:tcW w:w="208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CONDENSED CONSOLIDATED STATEMENTS OF CHANGES IN STOCKHOLDERS’/MEMBERS’ EQUITY</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9">
              <w:r>
                <w:rPr>
                  <w:rFonts w:ascii="Arial" w:cs="Arial" w:eastAsia="Arial" w:hAnsi="Arial"/>
                  <w:sz w:val="16"/>
                  <w:szCs w:val="16"/>
                  <w:color w:val="0000FF"/>
                </w:rPr>
                <w:t>7</w:t>
              </w:r>
            </w:hyperlink>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CONDENSED CONSOLIDATED STATEMENTS OF CASH FLOWS</w:t>
              </w:r>
            </w:hyperlink>
          </w:p>
        </w:tc>
        <w:tc>
          <w:tcPr>
            <w:tcW w:w="2900" w:type="dxa"/>
            <w:vAlign w:val="bottom"/>
            <w:tcBorders>
              <w:top w:val="single" w:sz="8" w:color="0000FF"/>
            </w:tcBorders>
            <w:gridSpan w:val="5"/>
          </w:tcPr>
          <w:p>
            <w:pPr>
              <w:spacing w:after="0"/>
              <w:rPr>
                <w:sz w:val="17"/>
                <w:szCs w:val="17"/>
                <w:color w:val="auto"/>
              </w:rPr>
            </w:pPr>
          </w:p>
        </w:tc>
        <w:tc>
          <w:tcPr>
            <w:tcW w:w="80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14"/>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NOTES TO CONDENSED CONSOLIDATED FINANCIAL STATEMENTS</w:t>
              </w:r>
            </w:hyperlink>
          </w:p>
        </w:tc>
        <w:tc>
          <w:tcPr>
            <w:tcW w:w="332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12">
              <w:r>
                <w:rPr>
                  <w:rFonts w:ascii="Arial" w:cs="Arial" w:eastAsia="Arial" w:hAnsi="Arial"/>
                  <w:sz w:val="16"/>
                  <w:szCs w:val="16"/>
                  <w:color w:val="0000FF"/>
                </w:rPr>
                <w:t>10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MANAGEMENT’S DISCUSSION AND ANALYSIS OF FINANCIAL CONDITIONS AND RESULTS OF OPERATIONS.</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25">
              <w:r>
                <w:rPr>
                  <w:rFonts w:ascii="Arial" w:cs="Arial" w:eastAsia="Arial" w:hAnsi="Arial"/>
                  <w:sz w:val="16"/>
                  <w:szCs w:val="16"/>
                  <w:color w:val="0000FF"/>
                </w:rPr>
                <w:t>22</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620" w:type="dxa"/>
            <w:vAlign w:val="bottom"/>
            <w:tcBorders>
              <w:bottom w:val="single" w:sz="8" w:color="0000FF"/>
            </w:tcBorders>
            <w:gridSpan w:val="16"/>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QUANTITATIVE AND QUALITATIVE DISCLOSURES ABOUT MARKET RISK.</w:t>
              </w:r>
            </w:hyperlink>
          </w:p>
        </w:tc>
        <w:tc>
          <w:tcPr>
            <w:tcW w:w="3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21"/>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CONTROLS AND PROCEDURES.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2">
              <w:r>
                <w:rPr>
                  <w:rFonts w:ascii="Arial" w:cs="Arial" w:eastAsia="Arial" w:hAnsi="Arial"/>
                  <w:sz w:val="16"/>
                  <w:szCs w:val="16"/>
                  <w:color w:val="0000FF"/>
                </w:rPr>
                <w:t>39</w:t>
              </w:r>
            </w:hyperlink>
          </w:p>
        </w:tc>
        <w:tc>
          <w:tcPr>
            <w:tcW w:w="560" w:type="dxa"/>
            <w:vAlign w:val="bottom"/>
          </w:tcPr>
          <w:p>
            <w:pPr>
              <w:spacing w:after="0"/>
              <w:rPr>
                <w:sz w:val="17"/>
                <w:szCs w:val="17"/>
                <w:color w:val="auto"/>
              </w:rPr>
            </w:pPr>
          </w:p>
        </w:tc>
      </w:tr>
      <w:tr>
        <w:trPr>
          <w:trHeight w:val="74"/>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r>
      <w:tr>
        <w:trPr>
          <w:trHeight w:val="216"/>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440" w:type="dxa"/>
            <w:vAlign w:val="bottom"/>
            <w:shd w:val="clear" w:color="auto" w:fill="00497F"/>
          </w:tcPr>
          <w:p>
            <w:pPr>
              <w:spacing w:after="0"/>
              <w:rPr>
                <w:sz w:val="18"/>
                <w:szCs w:val="18"/>
                <w:color w:val="auto"/>
              </w:rPr>
            </w:pPr>
          </w:p>
        </w:tc>
        <w:tc>
          <w:tcPr>
            <w:tcW w:w="5800" w:type="dxa"/>
            <w:vAlign w:val="bottom"/>
            <w:gridSpan w:val="11"/>
            <w:shd w:val="clear" w:color="auto" w:fill="00497F"/>
          </w:tcPr>
          <w:p>
            <w:pPr>
              <w:jc w:val="center"/>
              <w:ind w:right="2960"/>
              <w:spacing w:after="0"/>
              <w:rPr>
                <w:sz w:val="20"/>
                <w:szCs w:val="20"/>
                <w:color w:val="auto"/>
              </w:rPr>
            </w:pPr>
            <w:r>
              <w:rPr>
                <w:rFonts w:ascii="Arial" w:cs="Arial" w:eastAsia="Arial" w:hAnsi="Arial"/>
                <w:sz w:val="16"/>
                <w:szCs w:val="16"/>
                <w:b w:val="1"/>
                <w:bCs w:val="1"/>
                <w:color w:val="FFFFFF"/>
                <w:w w:val="99"/>
              </w:rPr>
              <w:t>PART II - OTHER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1820" w:type="dxa"/>
            <w:vAlign w:val="bottom"/>
            <w:tcBorders>
              <w:bottom w:val="single" w:sz="8" w:color="0000FF"/>
            </w:tcBorders>
            <w:gridSpan w:val="6"/>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LEGAL PROCEEDINGS.</w:t>
              </w:r>
            </w:hyperlink>
          </w:p>
        </w:tc>
        <w:tc>
          <w:tcPr>
            <w:tcW w:w="6940" w:type="dxa"/>
            <w:vAlign w:val="bottom"/>
            <w:gridSpan w:val="15"/>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5"/>
                <w:szCs w:val="15"/>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4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RISK FACTORS.</w:t>
              </w:r>
            </w:hyperlink>
          </w:p>
        </w:tc>
        <w:tc>
          <w:tcPr>
            <w:tcW w:w="75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21"/>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UNREGISTERED SALES OF EQUITY SECURITIES AND USE OF PROCEEDS.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296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DEFAULT UPON SENIOR SECURITIES.</w:t>
              </w:r>
            </w:hyperlink>
          </w:p>
        </w:tc>
        <w:tc>
          <w:tcPr>
            <w:tcW w:w="2860" w:type="dxa"/>
            <w:vAlign w:val="bottom"/>
            <w:tcBorders>
              <w:top w:val="single" w:sz="8" w:color="0000FF"/>
            </w:tcBorders>
            <w:gridSpan w:val="7"/>
          </w:tcPr>
          <w:p>
            <w:pPr>
              <w:spacing w:after="0"/>
              <w:rPr>
                <w:sz w:val="17"/>
                <w:szCs w:val="17"/>
                <w:color w:val="auto"/>
              </w:rPr>
            </w:pPr>
          </w:p>
        </w:tc>
        <w:tc>
          <w:tcPr>
            <w:tcW w:w="29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340" w:type="dxa"/>
            <w:vAlign w:val="bottom"/>
            <w:tcBorders>
              <w:bottom w:val="single" w:sz="8" w:color="0000FF"/>
            </w:tcBorders>
            <w:gridSpan w:val="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MINE SAFETY DISCLOSURES.</w:t>
              </w:r>
            </w:hyperlink>
          </w:p>
        </w:tc>
        <w:tc>
          <w:tcPr>
            <w:tcW w:w="642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78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3">
              <w:r>
                <w:rPr>
                  <w:rFonts w:ascii="Arial" w:cs="Arial" w:eastAsia="Arial" w:hAnsi="Arial"/>
                  <w:sz w:val="16"/>
                  <w:szCs w:val="16"/>
                  <w:color w:val="0000FF"/>
                  <w:w w:val="99"/>
                </w:rPr>
                <w:t>OTHER INFORMATION.</w:t>
              </w:r>
            </w:hyperlink>
          </w:p>
        </w:tc>
        <w:tc>
          <w:tcPr>
            <w:tcW w:w="69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40</w:t>
              </w:r>
            </w:hyperlink>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8760" w:type="dxa"/>
            <w:vAlign w:val="bottom"/>
            <w:gridSpan w:val="21"/>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EXHIBITS.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3">
              <w:r>
                <w:rPr>
                  <w:rFonts w:ascii="Arial" w:cs="Arial" w:eastAsia="Arial" w:hAnsi="Arial"/>
                  <w:sz w:val="16"/>
                  <w:szCs w:val="16"/>
                  <w:color w:val="0000FF"/>
                </w:rPr>
                <w:t>41</w:t>
              </w:r>
            </w:hyperlink>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SIGNATURES</w:t>
              </w:r>
            </w:hyperlink>
          </w:p>
        </w:tc>
        <w:tc>
          <w:tcPr>
            <w:tcW w:w="680" w:type="dxa"/>
            <w:vAlign w:val="bottom"/>
            <w:gridSpan w:val="4"/>
          </w:tcPr>
          <w:p>
            <w:pPr>
              <w:jc w:val="center"/>
              <w:ind w:left="419"/>
              <w:spacing w:after="0"/>
              <w:rPr>
                <w:rFonts w:ascii="Arial" w:cs="Arial" w:eastAsia="Arial" w:hAnsi="Arial"/>
                <w:sz w:val="16"/>
                <w:szCs w:val="16"/>
                <w:color w:val="0000FF"/>
              </w:rPr>
            </w:pPr>
            <w:hyperlink w:anchor="page44">
              <w:r>
                <w:rPr>
                  <w:rFonts w:ascii="Arial" w:cs="Arial" w:eastAsia="Arial" w:hAnsi="Arial"/>
                  <w:sz w:val="16"/>
                  <w:szCs w:val="16"/>
                  <w:color w:val="0000FF"/>
                </w:rPr>
                <w:t>42</w:t>
              </w:r>
            </w:hyperlink>
          </w:p>
        </w:tc>
        <w:tc>
          <w:tcPr>
            <w:tcW w:w="560" w:type="dxa"/>
            <w:vAlign w:val="bottom"/>
          </w:tcPr>
          <w:p>
            <w:pPr>
              <w:spacing w:after="0"/>
              <w:rPr>
                <w:sz w:val="17"/>
                <w:szCs w:val="17"/>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20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These forward-looking statements speak only as of the date of this Quarterly Report on Form 10-Q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the time and cost of training agents are significant and can increase during a period of high attrition; carriers may reduce the commissions paid to us and change their underwriting practices in ways that reduce the number of, or impact the renewal or approval rates of, insurance policies sold through our platform; significant consolidation in the health insurance industry could adversely alter our relationships with carriers; information technology system failures could interrupt our operations; factors that impact our estimate of LTV (as defined below) may be adversely impacted; our ability to sell Medicare-related health insurance plans is largely dependent on our licensed health insurance agents; changes and developments in the health insurance system and laws and regulations governing the health insurance markets; our ability to effectively advertise our products on a cost-effective basis or market the availability of our products through specific channels; the Founders and Centerbridge have significant influence over us, including control over decisions that require the approval of stockholders; and other important factors described in the section titled “Risk Factors” in our Annual Report on Form 10-K for the year ended December 31, 2020 (the “2020 Form 10-K”), the section titled “Management’s Discussion and Analysis of Financial Condition and Results of Operations” in this Quarterly Report on Form 10-Q, and in our other filings with the Securities and Exchange Commission.</w:t>
      </w:r>
    </w:p>
    <w:p>
      <w:pPr>
        <w:spacing w:after="0" w:line="21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CERTAIN DEFINITIONS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w:t>
      </w:r>
    </w:p>
    <w:p>
      <w:pPr>
        <w:spacing w:after="0" w:line="205" w:lineRule="exact"/>
        <w:rPr>
          <w:sz w:val="20"/>
          <w:szCs w:val="20"/>
          <w:color w:val="auto"/>
        </w:rPr>
      </w:pPr>
    </w:p>
    <w:p>
      <w:pPr>
        <w:ind w:left="660" w:right="180" w:hanging="328"/>
        <w:spacing w:after="0" w:line="25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GoHealth</w:t>
      </w:r>
      <w:r>
        <w:rPr>
          <w:rFonts w:ascii="Arial" w:cs="Arial" w:eastAsia="Arial" w:hAnsi="Arial"/>
          <w:sz w:val="16"/>
          <w:szCs w:val="16"/>
          <w:color w:val="auto"/>
        </w:rPr>
        <w:t>” and similar references refer: (1) following the consummation of the Transactions, including our 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180" w:lineRule="exact"/>
        <w:rPr>
          <w:rFonts w:ascii="Arial" w:cs="Arial" w:eastAsia="Arial" w:hAnsi="Arial"/>
          <w:sz w:val="16"/>
          <w:szCs w:val="16"/>
          <w:color w:val="auto"/>
        </w:rPr>
      </w:pPr>
    </w:p>
    <w:p>
      <w:pPr>
        <w:ind w:left="660" w:right="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Company</w:t>
      </w:r>
      <w:r>
        <w:rPr>
          <w:rFonts w:ascii="Arial" w:cs="Arial" w:eastAsia="Arial" w:hAnsi="Arial"/>
          <w:sz w:val="16"/>
          <w:szCs w:val="16"/>
          <w:color w:val="auto"/>
        </w:rPr>
        <w:t>” refers to an entity affiliated with Centerbridge that was an indirect owner of LLC Interests in GoHealth Holdings, LLC prior to the Transactions and is taxable as a corporation for U.S. federal income tax purposes.</w:t>
      </w:r>
    </w:p>
    <w:p>
      <w:pPr>
        <w:spacing w:after="0" w:line="163" w:lineRule="exact"/>
        <w:rPr>
          <w:rFonts w:ascii="Arial" w:cs="Arial" w:eastAsia="Arial" w:hAnsi="Arial"/>
          <w:sz w:val="16"/>
          <w:szCs w:val="16"/>
          <w:color w:val="auto"/>
        </w:rPr>
      </w:pPr>
    </w:p>
    <w:p>
      <w:pPr>
        <w:ind w:left="660" w:right="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63" w:lineRule="exact"/>
        <w:rPr>
          <w:rFonts w:ascii="Arial" w:cs="Arial" w:eastAsia="Arial" w:hAnsi="Arial"/>
          <w:sz w:val="16"/>
          <w:szCs w:val="16"/>
          <w:color w:val="auto"/>
        </w:rPr>
      </w:pPr>
    </w:p>
    <w:p>
      <w:pPr>
        <w:ind w:left="660" w:right="320" w:hanging="328"/>
        <w:spacing w:after="0" w:line="26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 w:name="page5"/>
    <w:bookmarkEnd w:id="4"/>
    <w:p>
      <w:pPr>
        <w:ind w:left="660" w:right="44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 Acquisition</w:t>
      </w:r>
      <w:r>
        <w:rPr>
          <w:rFonts w:ascii="Arial" w:cs="Arial" w:eastAsia="Arial" w:hAnsi="Arial"/>
          <w:sz w:val="16"/>
          <w:szCs w:val="16"/>
          <w:color w:val="auto"/>
        </w:rPr>
        <w:t xml:space="preserve">” or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refers to the acquisition, on September 13, 2019, by Centerbridge, indirectly through a subsidiary of GoHealth Holdings, LLC (formerly known as Blizzard Parent, LLC), an entity formed in contemplation of the acquisition, of a 100% interest in Norvax.</w:t>
      </w:r>
    </w:p>
    <w:p>
      <w:pPr>
        <w:spacing w:after="0" w:line="178" w:lineRule="exact"/>
        <w:rPr>
          <w:rFonts w:ascii="Arial" w:cs="Arial" w:eastAsia="Arial" w:hAnsi="Arial"/>
          <w:sz w:val="16"/>
          <w:szCs w:val="16"/>
          <w:color w:val="auto"/>
        </w:rPr>
      </w:pPr>
    </w:p>
    <w:p>
      <w:pPr>
        <w:ind w:left="660" w:right="2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86" w:lineRule="exact"/>
        <w:rPr>
          <w:rFonts w:ascii="Arial" w:cs="Arial" w:eastAsia="Arial" w:hAnsi="Arial"/>
          <w:sz w:val="16"/>
          <w:szCs w:val="16"/>
          <w:color w:val="auto"/>
        </w:rPr>
      </w:pPr>
    </w:p>
    <w:p>
      <w:pPr>
        <w:ind w:left="660" w:right="12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and Chief Strategy Officer and Special Advisor to the Executive Team, and Clinton P. Jones, our Co-Founder and Chief Executive Officer.</w:t>
      </w:r>
    </w:p>
    <w:p>
      <w:pPr>
        <w:spacing w:after="0" w:line="163" w:lineRule="exact"/>
        <w:rPr>
          <w:rFonts w:ascii="Arial" w:cs="Arial" w:eastAsia="Arial" w:hAnsi="Arial"/>
          <w:sz w:val="16"/>
          <w:szCs w:val="16"/>
          <w:color w:val="auto"/>
        </w:rPr>
      </w:pPr>
    </w:p>
    <w:p>
      <w:pPr>
        <w:ind w:left="660" w:right="6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86" w:lineRule="exact"/>
        <w:rPr>
          <w:rFonts w:ascii="Arial" w:cs="Arial" w:eastAsia="Arial" w:hAnsi="Arial"/>
          <w:sz w:val="16"/>
          <w:szCs w:val="16"/>
          <w:color w:val="auto"/>
        </w:rPr>
      </w:pPr>
    </w:p>
    <w:p>
      <w:pPr>
        <w:ind w:left="660" w:right="36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GoHealth Holdings, LLC Agreement</w:t>
      </w:r>
      <w:r>
        <w:rPr>
          <w:rFonts w:ascii="Arial" w:cs="Arial" w:eastAsia="Arial" w:hAnsi="Arial"/>
          <w:sz w:val="16"/>
          <w:szCs w:val="16"/>
          <w:color w:val="auto"/>
        </w:rPr>
        <w:t>” refers to GoHealth Holdings, LLC’s amended and restated limited liability company agreement, as further amended, which became effective substantially concurrently with or prior to the consummation of our IPO.</w:t>
      </w:r>
    </w:p>
    <w:p>
      <w:pPr>
        <w:spacing w:after="0" w:line="163"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GoHealth Holdings, LLC, including those that we purchased with a portion of the net proceeds from our IPO.</w:t>
      </w:r>
    </w:p>
    <w:p>
      <w:pPr>
        <w:spacing w:after="0" w:line="16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Norwest</w:t>
      </w:r>
      <w:r>
        <w:rPr>
          <w:rFonts w:ascii="Arial" w:cs="Arial" w:eastAsia="Arial" w:hAnsi="Arial"/>
          <w:sz w:val="16"/>
          <w:szCs w:val="16"/>
          <w:color w:val="auto"/>
        </w:rPr>
        <w:t>” refers to Norwest Equity Partners and certain funds affiliated with Norwest Equity Partners.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or “</w:t>
      </w:r>
      <w:r>
        <w:rPr>
          <w:rFonts w:ascii="Arial" w:cs="Arial" w:eastAsia="Arial" w:hAnsi="Arial"/>
          <w:sz w:val="16"/>
          <w:szCs w:val="16"/>
          <w:i w:val="1"/>
          <w:iCs w:val="1"/>
          <w:color w:val="auto"/>
        </w:rPr>
        <w:t>Predecessor</w:t>
      </w:r>
      <w:r>
        <w:rPr>
          <w:rFonts w:ascii="Arial" w:cs="Arial" w:eastAsia="Arial" w:hAnsi="Arial"/>
          <w:sz w:val="16"/>
          <w:szCs w:val="16"/>
          <w:color w:val="auto"/>
        </w:rPr>
        <w:t>” refers to Norvax, LLC, a Delaware limited liability company and a subsidiary of GoHealth Holdings, LLC.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right="4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Original Equity Owners</w:t>
      </w:r>
      <w:r>
        <w:rPr>
          <w:rFonts w:ascii="Arial" w:cs="Arial" w:eastAsia="Arial" w:hAnsi="Arial"/>
          <w:sz w:val="16"/>
          <w:szCs w:val="16"/>
          <w:color w:val="auto"/>
        </w:rPr>
        <w:t>” refer to the owners of LLC Interests in GoHealth Holdings, LLC prior to the consummation of the Transactions, collectively, which include Centerbridge, Norwest, our Founders and certain executive officers, employees and other minority investors.</w:t>
      </w:r>
    </w:p>
    <w:p>
      <w:pPr>
        <w:spacing w:after="0" w:line="163" w:lineRule="exact"/>
        <w:rPr>
          <w:rFonts w:ascii="Arial" w:cs="Arial" w:eastAsia="Arial" w:hAnsi="Arial"/>
          <w:sz w:val="16"/>
          <w:szCs w:val="16"/>
          <w:color w:val="auto"/>
        </w:rPr>
      </w:pPr>
    </w:p>
    <w:p>
      <w:pPr>
        <w:ind w:left="660" w:right="160" w:hanging="328"/>
        <w:spacing w:after="0" w:line="26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 See Note 1, “Description Of Business And Significant Accounting Policies,” to the Condensed Consolidated Financial Statements for a description of the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GoHealth Holdings, LLC, and its principal asset consists of LLC Interests.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TERMS AND PERFORMANCE INDICATORS; NON-GAAP FINANCIAL MEASURES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Throughout this Quarterly Report on Form 10-Q, we use a number of key terms and provide a number of key performance indicators used by 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define these terms and key performance indicators as follows:</w:t>
      </w:r>
    </w:p>
    <w:p>
      <w:pPr>
        <w:spacing w:after="0" w:line="205" w:lineRule="exact"/>
        <w:rPr>
          <w:sz w:val="20"/>
          <w:szCs w:val="20"/>
          <w:color w:val="auto"/>
        </w:rPr>
      </w:pPr>
    </w:p>
    <w:p>
      <w:pPr>
        <w:jc w:val="both"/>
        <w:ind w:left="660" w:right="480" w:hanging="328"/>
        <w:spacing w:after="0" w:line="26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share-based compensation expense, accelerated vesting of certain equity awards, loss on extinguishment of debt, loss on sublease, non-recurring legal fees, change in fair value of contingent consideration liability, IPO transaction costs, and severance costs.</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Approved Submissions</w:t>
      </w:r>
      <w:r>
        <w:rPr>
          <w:rFonts w:ascii="Arial" w:cs="Arial" w:eastAsia="Arial" w:hAnsi="Arial"/>
          <w:sz w:val="16"/>
          <w:szCs w:val="16"/>
          <w:color w:val="auto"/>
        </w:rPr>
        <w:t>” refer to Submitted Policies approved by carriers for the identified product during the indicated period.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 w:name="page6"/>
    <w:bookmarkEnd w:id="5"/>
    <w:p>
      <w:pPr>
        <w:ind w:left="660" w:right="60" w:hanging="328"/>
        <w:spacing w:after="0" w:line="26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CAC</w:t>
      </w:r>
      <w:r>
        <w:rPr>
          <w:rFonts w:ascii="Arial" w:cs="Arial" w:eastAsia="Arial" w:hAnsi="Arial"/>
          <w:sz w:val="16"/>
          <w:szCs w:val="16"/>
          <w:color w:val="auto"/>
        </w:rPr>
        <w:t>” refers to the cost to convert a prospect into a customer less other non-commission carrier revenue for such period. CAC is comprised of cost of revenue, marketing and advertising expenses and customer care and enrollment expenses less enterprise revenue and is presented on a per commissionable Approved Submission basis.</w:t>
      </w:r>
    </w:p>
    <w:p>
      <w:pPr>
        <w:spacing w:after="0" w:line="17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221" w:lineRule="exact"/>
        <w:rPr>
          <w:rFonts w:ascii="Arial" w:cs="Arial" w:eastAsia="Arial" w:hAnsi="Arial"/>
          <w:sz w:val="16"/>
          <w:szCs w:val="16"/>
          <w:color w:val="auto"/>
        </w:rPr>
      </w:pPr>
    </w:p>
    <w:p>
      <w:pPr>
        <w:ind w:left="660" w:right="280" w:hanging="328"/>
        <w:spacing w:after="0" w:line="26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78" w:lineRule="exact"/>
        <w:rPr>
          <w:rFonts w:ascii="Arial" w:cs="Arial" w:eastAsia="Arial" w:hAnsi="Arial"/>
          <w:sz w:val="16"/>
          <w:szCs w:val="16"/>
          <w:color w:val="auto"/>
        </w:rPr>
      </w:pPr>
    </w:p>
    <w:p>
      <w:pPr>
        <w:ind w:left="660" w:right="4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 Per Approved Submission</w:t>
      </w:r>
      <w:r>
        <w:rPr>
          <w:rFonts w:ascii="Arial" w:cs="Arial" w:eastAsia="Arial" w:hAnsi="Arial"/>
          <w:sz w:val="16"/>
          <w:szCs w:val="16"/>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183"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LTV/CAC</w:t>
      </w:r>
      <w:r>
        <w:rPr>
          <w:rFonts w:ascii="Arial" w:cs="Arial" w:eastAsia="Arial" w:hAnsi="Arial"/>
          <w:sz w:val="16"/>
          <w:szCs w:val="16"/>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enterprise revenue and is presented on a per commissionable Approved Submission basis.</w:t>
      </w:r>
    </w:p>
    <w:p>
      <w:pPr>
        <w:spacing w:after="0" w:line="186" w:lineRule="exact"/>
        <w:rPr>
          <w:rFonts w:ascii="Arial" w:cs="Arial" w:eastAsia="Arial" w:hAnsi="Arial"/>
          <w:sz w:val="16"/>
          <w:szCs w:val="16"/>
          <w:color w:val="auto"/>
        </w:rPr>
      </w:pPr>
    </w:p>
    <w:p>
      <w:pPr>
        <w:ind w:left="660" w:right="30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Submitted Policies</w:t>
      </w:r>
      <w:r>
        <w:rPr>
          <w:rFonts w:ascii="Arial" w:cs="Arial" w:eastAsia="Arial" w:hAnsi="Arial"/>
          <w:sz w:val="16"/>
          <w:szCs w:val="16"/>
          <w:color w:val="auto"/>
        </w:rPr>
        <w:t>” refer to completed applications that, with respect to each such application, the consumer has authorized us to submit to the carrier.</w:t>
      </w:r>
    </w:p>
    <w:p>
      <w:pPr>
        <w:spacing w:after="0" w:line="17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Sep. 30,</w:t>
            </w:r>
          </w:p>
        </w:tc>
        <w:tc>
          <w:tcPr>
            <w:tcW w:w="860" w:type="dxa"/>
            <w:vAlign w:val="bottom"/>
            <w:tcBorders>
              <w:bottom w:val="single" w:sz="8" w:color="auto"/>
            </w:tcBorders>
          </w:tcPr>
          <w:p>
            <w:pPr>
              <w:spacing w:after="0"/>
              <w:rPr>
                <w:sz w:val="15"/>
                <w:szCs w:val="15"/>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6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174,948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101,390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496,437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310,506</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36,786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61,970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116,378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120,921</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211,734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163,360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612,815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431,427</w:t>
            </w:r>
          </w:p>
        </w:tc>
      </w:tr>
      <w:tr>
        <w:trPr>
          <w:trHeight w:val="16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53,632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139,449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104,520</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59,511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110,556</w:t>
            </w: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87,813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52,896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105,267</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11,651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49,818</w:t>
            </w:r>
          </w:p>
        </w:tc>
      </w:tr>
      <w:tr>
        <w:trPr>
          <w:trHeight w:val="189"/>
        </w:trPr>
        <w:tc>
          <w:tcPr>
            <w:tcW w:w="616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24,232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156,551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69,176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177,400</w:t>
            </w: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r>
      <w:tr>
        <w:trPr>
          <w:trHeight w:val="189"/>
        </w:trPr>
        <w:tc>
          <w:tcPr>
            <w:tcW w:w="61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70,543</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260,353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361,156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678,983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637,804</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(48,619)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(197,796)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(66,168)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(206,377)</w:t>
            </w: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(55,510)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(230,261)</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2"/>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(55,431)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(206,496)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(101,874)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(230,299)</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(35,248)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(150,076)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(67,612)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(150,076)</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(20,183)</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(56,420)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(34,262)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(80,223)</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61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Net loss per share (Note 7):</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color w:val="auto"/>
              </w:rPr>
              <w:t>Net loss per share of Class A common stock — basic and diluted (1)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(0.65)</w:t>
            </w: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113,938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84,183</w:t>
            </w:r>
          </w:p>
        </w:tc>
      </w:tr>
    </w:tbl>
    <w:p>
      <w:pPr>
        <w:spacing w:after="0" w:line="312" w:lineRule="exact"/>
        <w:rPr>
          <w:sz w:val="20"/>
          <w:szCs w:val="20"/>
          <w:color w:val="auto"/>
        </w:rPr>
      </w:pPr>
    </w:p>
    <w:p>
      <w:pPr>
        <w:ind w:right="440" w:firstLine="8"/>
        <w:spacing w:after="0" w:line="260"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loss per share of Class A common stock—basic and diluted is the same for both the three and nine months ended September 30, 2020 as both periods are based on the post-IPO net loss from July 17, 2020 to September 30,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Sep.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Sep. 30,</w:t>
            </w:r>
          </w:p>
        </w:tc>
        <w:tc>
          <w:tcPr>
            <w:tcW w:w="860" w:type="dxa"/>
            <w:vAlign w:val="bottom"/>
            <w:tcBorders>
              <w:bottom w:val="single" w:sz="8" w:color="auto"/>
            </w:tcBorders>
          </w:tcPr>
          <w:p>
            <w:pPr>
              <w:spacing w:after="0"/>
              <w:rPr>
                <w:sz w:val="15"/>
                <w:szCs w:val="15"/>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(230,299)</w:t>
            </w:r>
          </w:p>
        </w:tc>
      </w:tr>
      <w:tr>
        <w:trPr>
          <w:trHeight w:val="189"/>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6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(206,581)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(230,286)</w:t>
            </w:r>
          </w:p>
        </w:tc>
      </w:tr>
      <w:tr>
        <w:trPr>
          <w:trHeight w:val="183"/>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(35,226)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(150,145)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(67,659)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(150,145)</w:t>
            </w:r>
          </w:p>
        </w:tc>
      </w:tr>
      <w:tr>
        <w:trPr>
          <w:trHeight w:val="183"/>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(56,436)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(34,283)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(80,141)</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00497F"/>
        </w:rPr>
        <w:t>CONDENSED CONSOLIDATED BALANCE SHEETS</w:t>
      </w:r>
    </w:p>
    <w:p>
      <w:pPr>
        <w:spacing w:after="0" w:line="63"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 30, 2021</w:t>
            </w:r>
          </w:p>
        </w:tc>
        <w:tc>
          <w:tcPr>
            <w:tcW w:w="22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144,234</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$634 in 2021 and $787 in 2020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14,211</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 from NVX Holdings, Inc.</w:t>
            </w:r>
          </w:p>
        </w:tc>
        <w:tc>
          <w:tcPr>
            <w:tcW w:w="2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133,422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188,128</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41,854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391,822</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837,958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622,270</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17,353</w:t>
            </w: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618,183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688,726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386,553</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2,130,618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8,733</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26,926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78,478</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4,170</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8,328</w:t>
            </w:r>
          </w:p>
        </w:tc>
        <w:tc>
          <w:tcPr>
            <w:tcW w:w="0" w:type="dxa"/>
            <w:vAlign w:val="bottom"/>
          </w:tcPr>
          <w:p>
            <w:pPr>
              <w:spacing w:after="0"/>
              <w:rPr>
                <w:sz w:val="1"/>
                <w:szCs w:val="1"/>
                <w:color w:val="auto"/>
              </w:rPr>
            </w:pPr>
          </w:p>
        </w:tc>
      </w:tr>
      <w:tr>
        <w:trPr>
          <w:trHeight w:val="18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132,932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127,371</w:t>
            </w:r>
          </w:p>
        </w:tc>
        <w:tc>
          <w:tcPr>
            <w:tcW w:w="0" w:type="dxa"/>
            <w:vAlign w:val="bottom"/>
          </w:tcPr>
          <w:p>
            <w:pPr>
              <w:spacing w:after="0"/>
              <w:rPr>
                <w:sz w:val="1"/>
                <w:szCs w:val="1"/>
                <w:color w:val="auto"/>
              </w:rPr>
            </w:pP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Commissions payable - non-current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182,596</w:t>
            </w: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439,216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396,400</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non-current liabilities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679,897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582,270</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10)</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Class A common stock – $0.0001 par value; 1,100,000 shares authorized; 114,713 and 84,196 shares issued and</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outstanding at September 30, 2021 and December 31, 2020, respectively.</w:t>
            </w: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tcPr>
          <w:p>
            <w:pPr>
              <w:ind w:left="240"/>
              <w:spacing w:after="0" w:line="153" w:lineRule="exact"/>
              <w:rPr>
                <w:sz w:val="20"/>
                <w:szCs w:val="20"/>
                <w:color w:val="auto"/>
              </w:rPr>
            </w:pPr>
            <w:r>
              <w:rPr>
                <w:rFonts w:ascii="Arial" w:cs="Arial" w:eastAsia="Arial" w:hAnsi="Arial"/>
                <w:sz w:val="14"/>
                <w:szCs w:val="14"/>
                <w:color w:val="auto"/>
              </w:rPr>
              <w:t>Class B common stock – $0.0001 par value; 588,002 and 619,004 shares authorized; 205,995 and 236,997 shares</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4"/>
                <w:szCs w:val="14"/>
                <w:color w:val="auto"/>
              </w:rPr>
              <w:t>issued and outstanding at September 30, 2021 and December 31, 2020, respectively.</w:t>
            </w: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Preferred stock – $0.0001 par value; 20,000 shares authorized; no shares issued and outstanding at September 30,</w:t>
            </w:r>
          </w:p>
        </w:tc>
        <w:tc>
          <w:tcPr>
            <w:tcW w:w="22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2021 and December 31, 2020.</w:t>
            </w:r>
          </w:p>
        </w:tc>
        <w:tc>
          <w:tcPr>
            <w:tcW w:w="220" w:type="dxa"/>
            <w:vAlign w:val="bottom"/>
            <w:shd w:val="clear" w:color="auto" w:fill="CCEEFF"/>
          </w:tcPr>
          <w:p>
            <w:pPr>
              <w:spacing w:after="0"/>
              <w:rPr>
                <w:sz w:val="14"/>
                <w:szCs w:val="14"/>
                <w:color w:val="auto"/>
              </w:rPr>
            </w:pPr>
          </w:p>
        </w:tc>
        <w:tc>
          <w:tcPr>
            <w:tcW w:w="1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550,455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399,169</w:t>
            </w:r>
          </w:p>
        </w:tc>
        <w:tc>
          <w:tcPr>
            <w:tcW w:w="0" w:type="dxa"/>
            <w:vAlign w:val="bottom"/>
          </w:tcPr>
          <w:p>
            <w:pPr>
              <w:spacing w:after="0"/>
              <w:rPr>
                <w:sz w:val="1"/>
                <w:szCs w:val="1"/>
                <w:color w:val="auto"/>
              </w:rPr>
            </w:pPr>
          </w:p>
        </w:tc>
      </w:tr>
      <w:tr>
        <w:trPr>
          <w:trHeight w:val="189"/>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(53,064)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497,419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380,416</w:t>
            </w:r>
          </w:p>
        </w:tc>
        <w:tc>
          <w:tcPr>
            <w:tcW w:w="0" w:type="dxa"/>
            <w:vAlign w:val="bottom"/>
          </w:tcPr>
          <w:p>
            <w:pPr>
              <w:spacing w:after="0"/>
              <w:rPr>
                <w:sz w:val="1"/>
                <w:szCs w:val="1"/>
                <w:color w:val="auto"/>
              </w:rPr>
            </w:pPr>
          </w:p>
        </w:tc>
      </w:tr>
      <w:tr>
        <w:trPr>
          <w:trHeight w:val="18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820,370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1,018,739</w:t>
            </w:r>
          </w:p>
        </w:tc>
        <w:tc>
          <w:tcPr>
            <w:tcW w:w="0" w:type="dxa"/>
            <w:vAlign w:val="bottom"/>
          </w:tcPr>
          <w:p>
            <w:pPr>
              <w:spacing w:after="0"/>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1,317,789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1,399,155</w:t>
            </w: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2,130,618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2,108,796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CHANGES IN STOCKHOLDERS’ / MEMBERS’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right"/>
              <w:spacing w:after="0"/>
              <w:rPr>
                <w:sz w:val="20"/>
                <w:szCs w:val="20"/>
                <w:color w:val="auto"/>
              </w:rPr>
            </w:pPr>
            <w:r>
              <w:rPr>
                <w:rFonts w:ascii="Arial" w:cs="Arial" w:eastAsia="Arial" w:hAnsi="Arial"/>
                <w:sz w:val="11"/>
                <w:szCs w:val="11"/>
                <w:b w:val="1"/>
                <w:bCs w:val="1"/>
                <w:color w:val="auto"/>
              </w:rPr>
              <w:t>Three months ended Sep. 30, 2021</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1460" w:type="dxa"/>
            <w:vAlign w:val="bottom"/>
            <w:tcBorders>
              <w:bottom w:val="single" w:sz="8" w:color="auto"/>
            </w:tcBorders>
            <w:gridSpan w:val="5"/>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A Common Stock</w:t>
            </w: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Class B Common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line="20" w:lineRule="exact"/>
              <w:rPr>
                <w:sz w:val="1"/>
                <w:szCs w:val="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Non-</w:t>
            </w:r>
          </w:p>
        </w:tc>
        <w:tc>
          <w:tcPr>
            <w:tcW w:w="120" w:type="dxa"/>
            <w:vAlign w:val="bottom"/>
          </w:tcPr>
          <w:p>
            <w:pPr>
              <w:spacing w:after="0" w:line="20" w:lineRule="exact"/>
              <w:rPr>
                <w:sz w:val="1"/>
                <w:szCs w:val="1"/>
                <w:color w:val="auto"/>
              </w:rPr>
            </w:pPr>
          </w:p>
        </w:tc>
        <w:tc>
          <w:tcPr>
            <w:tcW w:w="8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2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9"/>
              </w:rPr>
              <w:t>Paid-In Capital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Pr>
          <w:p>
            <w:pPr>
              <w:spacing w:after="0"/>
              <w:rPr>
                <w:sz w:val="12"/>
                <w:szCs w:val="12"/>
                <w:color w:val="auto"/>
              </w:rPr>
            </w:pPr>
          </w:p>
        </w:tc>
        <w:tc>
          <w:tcPr>
            <w:tcW w:w="880" w:type="dxa"/>
            <w:vAlign w:val="bottom"/>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 30, 2021</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105,318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215,495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503,689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(32,881)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894,973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1,365,800</w:t>
            </w:r>
          </w:p>
        </w:tc>
        <w:tc>
          <w:tcPr>
            <w:tcW w:w="0" w:type="dxa"/>
            <w:vAlign w:val="bottom"/>
          </w:tcPr>
          <w:p>
            <w:pPr>
              <w:spacing w:after="0"/>
              <w:rPr>
                <w:sz w:val="1"/>
                <w:szCs w:val="1"/>
                <w:color w:val="auto"/>
              </w:rPr>
            </w:pPr>
          </w:p>
        </w:tc>
      </w:tr>
      <w:tr>
        <w:trPr>
          <w:trHeight w:val="98"/>
        </w:trPr>
        <w:tc>
          <w:tcPr>
            <w:tcW w:w="2960" w:type="dxa"/>
            <w:vAlign w:val="bottom"/>
          </w:tcPr>
          <w:p>
            <w:pPr>
              <w:ind w:left="20"/>
              <w:spacing w:after="0" w:line="99" w:lineRule="exact"/>
              <w:rPr>
                <w:sz w:val="20"/>
                <w:szCs w:val="20"/>
                <w:color w:val="auto"/>
              </w:rPr>
            </w:pPr>
            <w:r>
              <w:rPr>
                <w:rFonts w:ascii="Arial" w:cs="Arial" w:eastAsia="Arial" w:hAnsi="Arial"/>
                <w:sz w:val="11"/>
                <w:szCs w:val="11"/>
                <w:color w:val="auto"/>
              </w:rPr>
              <w:t>Issuance of Class A common shares related to share-</w:t>
            </w: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60" w:type="dxa"/>
            <w:vAlign w:val="bottom"/>
          </w:tcPr>
          <w:p>
            <w:pPr>
              <w:ind w:left="20"/>
              <w:spacing w:after="0"/>
              <w:rPr>
                <w:sz w:val="20"/>
                <w:szCs w:val="20"/>
                <w:color w:val="auto"/>
              </w:rPr>
            </w:pPr>
            <w:r>
              <w:rPr>
                <w:rFonts w:ascii="Arial" w:cs="Arial" w:eastAsia="Arial" w:hAnsi="Arial"/>
                <w:sz w:val="11"/>
                <w:szCs w:val="11"/>
                <w:color w:val="auto"/>
              </w:rPr>
              <w:t>based compensation plans</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(20,183)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(35,248)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(55,431)</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7,389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7,389</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Forfeitures of Time-Vesting Units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of LLC Interests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9,375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(9,375)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39,377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(39,377)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Balance at Sep. 30, 2021</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114,713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205,995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550,455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(53,064)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820,370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1,317,789</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gridSpan w:val="7"/>
          </w:tcPr>
          <w:p>
            <w:pPr>
              <w:ind w:left="100"/>
              <w:spacing w:after="0"/>
              <w:rPr>
                <w:sz w:val="20"/>
                <w:szCs w:val="20"/>
                <w:color w:val="auto"/>
              </w:rPr>
            </w:pPr>
            <w:r>
              <w:rPr>
                <w:rFonts w:ascii="Arial" w:cs="Arial" w:eastAsia="Arial" w:hAnsi="Arial"/>
                <w:sz w:val="11"/>
                <w:szCs w:val="11"/>
                <w:b w:val="1"/>
                <w:bCs w:val="1"/>
                <w:color w:val="auto"/>
              </w:rPr>
              <w:t>Three months ended Sep. 30, 2020</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Class A Common Stock</w:t>
            </w:r>
          </w:p>
        </w:tc>
        <w:tc>
          <w:tcPr>
            <w:tcW w:w="1340" w:type="dxa"/>
            <w:vAlign w:val="bottom"/>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7"/>
              </w:rPr>
              <w:t>Members’</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line="20" w:lineRule="exact"/>
              <w:rPr>
                <w:sz w:val="1"/>
                <w:szCs w:val="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line="20" w:lineRule="exact"/>
              <w:rPr>
                <w:sz w:val="1"/>
                <w:szCs w:val="1"/>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9"/>
              </w:rPr>
              <w:t>Stockholders’/Members’</w:t>
            </w: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 Capital</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Interest</w:t>
            </w:r>
          </w:p>
        </w:tc>
        <w:tc>
          <w:tcPr>
            <w:tcW w:w="280" w:type="dxa"/>
            <w:vAlign w:val="bottom"/>
          </w:tcPr>
          <w:p>
            <w:pPr>
              <w:spacing w:after="0"/>
              <w:rPr>
                <w:sz w:val="12"/>
                <w:szCs w:val="12"/>
                <w:color w:val="auto"/>
              </w:rPr>
            </w:pPr>
          </w:p>
        </w:tc>
        <w:tc>
          <w:tcPr>
            <w:tcW w:w="1020" w:type="dxa"/>
            <w:vAlign w:val="bottom"/>
          </w:tcPr>
          <w:p>
            <w:pPr>
              <w:jc w:val="right"/>
              <w:ind w:right="4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 30,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1,047,513</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rPr>
                <w:sz w:val="20"/>
                <w:szCs w:val="20"/>
                <w:color w:val="auto"/>
              </w:rPr>
            </w:pPr>
            <w:r>
              <w:rPr>
                <w:rFonts w:ascii="Arial" w:cs="Arial" w:eastAsia="Arial" w:hAnsi="Arial"/>
                <w:sz w:val="11"/>
                <w:szCs w:val="11"/>
                <w:color w:val="auto"/>
              </w:rPr>
              <w:t>Net loss prior to the Transactions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(1,662)</w:t>
            </w: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prior to the Transactions</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line="119" w:lineRule="exact"/>
              <w:rPr>
                <w:sz w:val="20"/>
                <w:szCs w:val="20"/>
                <w:color w:val="auto"/>
              </w:rPr>
            </w:pPr>
            <w:r>
              <w:rPr>
                <w:rFonts w:ascii="Arial" w:cs="Arial" w:eastAsia="Arial" w:hAnsi="Arial"/>
                <w:sz w:val="11"/>
                <w:szCs w:val="11"/>
                <w:color w:val="auto"/>
              </w:rPr>
              <w:t>Foreign currency translation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20"/>
              <w:spacing w:after="0"/>
              <w:rPr>
                <w:sz w:val="20"/>
                <w:szCs w:val="20"/>
                <w:color w:val="auto"/>
              </w:rPr>
            </w:pPr>
            <w:r>
              <w:rPr>
                <w:rFonts w:ascii="Arial" w:cs="Arial" w:eastAsia="Arial" w:hAnsi="Arial"/>
                <w:sz w:val="11"/>
                <w:szCs w:val="11"/>
                <w:color w:val="auto"/>
              </w:rPr>
              <w:t>adjustment prior to the Transactions</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the Transactions</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(1,045,802)</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307,980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(524,977)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1,570,748</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1,045,802</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 stock sold in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20"/>
              <w:spacing w:after="0"/>
              <w:rPr>
                <w:sz w:val="20"/>
                <w:szCs w:val="20"/>
                <w:color w:val="auto"/>
              </w:rPr>
            </w:pPr>
            <w:r>
              <w:rPr>
                <w:rFonts w:ascii="Arial" w:cs="Arial" w:eastAsia="Arial" w:hAnsi="Arial"/>
                <w:sz w:val="11"/>
                <w:szCs w:val="11"/>
                <w:color w:val="auto"/>
              </w:rPr>
              <w:t>IPO, net of offering costs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43,500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852,403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852,407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the Blocker Merger</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40,683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(45,503)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(96,164)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(96,165)</w:t>
            </w:r>
          </w:p>
        </w:tc>
        <w:tc>
          <w:tcPr>
            <w:tcW w:w="0" w:type="dxa"/>
            <w:vAlign w:val="bottom"/>
          </w:tcPr>
          <w:p>
            <w:pPr>
              <w:spacing w:after="0"/>
              <w:rPr>
                <w:sz w:val="1"/>
                <w:szCs w:val="1"/>
                <w:color w:val="auto"/>
              </w:rPr>
            </w:pPr>
          </w:p>
        </w:tc>
      </w:tr>
      <w:tr>
        <w:trPr>
          <w:trHeight w:val="140"/>
        </w:trPr>
        <w:tc>
          <w:tcPr>
            <w:tcW w:w="1960" w:type="dxa"/>
            <w:vAlign w:val="bottom"/>
          </w:tcPr>
          <w:p>
            <w:pPr>
              <w:ind w:left="20"/>
              <w:spacing w:after="0"/>
              <w:rPr>
                <w:sz w:val="20"/>
                <w:szCs w:val="20"/>
                <w:color w:val="auto"/>
              </w:rPr>
            </w:pPr>
            <w:r>
              <w:rPr>
                <w:rFonts w:ascii="Arial" w:cs="Arial" w:eastAsia="Arial" w:hAnsi="Arial"/>
                <w:sz w:val="11"/>
                <w:szCs w:val="11"/>
                <w:color w:val="auto"/>
              </w:rPr>
              <w:t>Effect of purchase of LLC Interests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(25,480)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(508,318)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(508,320)</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Settlement of Senior Preferred</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Earnout Units</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line="119" w:lineRule="exact"/>
              <w:rPr>
                <w:sz w:val="20"/>
                <w:szCs w:val="20"/>
                <w:color w:val="auto"/>
              </w:rPr>
            </w:pPr>
            <w:r>
              <w:rPr>
                <w:rFonts w:ascii="Arial" w:cs="Arial" w:eastAsia="Arial" w:hAnsi="Arial"/>
                <w:sz w:val="11"/>
                <w:szCs w:val="11"/>
                <w:color w:val="auto"/>
              </w:rPr>
              <w:t>Assumption of contingent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1"/>
                <w:szCs w:val="11"/>
                <w:color w:val="auto"/>
              </w:rPr>
              <w:t>consideration liability by significant</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20"/>
              <w:spacing w:after="0"/>
              <w:rPr>
                <w:sz w:val="20"/>
                <w:szCs w:val="20"/>
                <w:color w:val="auto"/>
              </w:rPr>
            </w:pPr>
            <w:r>
              <w:rPr>
                <w:rFonts w:ascii="Arial" w:cs="Arial" w:eastAsia="Arial" w:hAnsi="Arial"/>
                <w:sz w:val="11"/>
                <w:szCs w:val="11"/>
                <w:color w:val="auto"/>
              </w:rPr>
              <w:t>shareholder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62,400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62,400</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upon vesting of performance-based</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profit units</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209,300</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209,300</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line="119" w:lineRule="exact"/>
              <w:rPr>
                <w:sz w:val="20"/>
                <w:szCs w:val="20"/>
                <w:color w:val="auto"/>
              </w:rPr>
            </w:pPr>
            <w:r>
              <w:rPr>
                <w:rFonts w:ascii="Arial" w:cs="Arial" w:eastAsia="Arial" w:hAnsi="Arial"/>
                <w:sz w:val="11"/>
                <w:szCs w:val="11"/>
                <w:color w:val="auto"/>
              </w:rPr>
              <w:t>Net loss subsequent to the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20"/>
              <w:spacing w:after="0"/>
              <w:rPr>
                <w:sz w:val="20"/>
                <w:szCs w:val="20"/>
                <w:color w:val="auto"/>
              </w:rPr>
            </w:pPr>
            <w:r>
              <w:rPr>
                <w:rFonts w:ascii="Arial" w:cs="Arial" w:eastAsia="Arial" w:hAnsi="Arial"/>
                <w:sz w:val="11"/>
                <w:szCs w:val="11"/>
                <w:color w:val="auto"/>
              </w:rPr>
              <w:t>Transactions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(54,758)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(150,076)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(204,834)</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subsequent to the Transactions</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2,664</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line="119" w:lineRule="exact"/>
              <w:rPr>
                <w:sz w:val="20"/>
                <w:szCs w:val="20"/>
                <w:color w:val="auto"/>
              </w:rPr>
            </w:pPr>
            <w:r>
              <w:rPr>
                <w:rFonts w:ascii="Arial" w:cs="Arial" w:eastAsia="Arial" w:hAnsi="Arial"/>
                <w:sz w:val="11"/>
                <w:szCs w:val="11"/>
                <w:color w:val="auto"/>
              </w:rPr>
              <w:t>Foreign currency translation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1"/>
                <w:szCs w:val="11"/>
                <w:color w:val="auto"/>
              </w:rPr>
              <w:t>adjustment subsequent to the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20"/>
              <w:spacing w:after="0"/>
              <w:rPr>
                <w:sz w:val="20"/>
                <w:szCs w:val="20"/>
                <w:color w:val="auto"/>
              </w:rPr>
            </w:pPr>
            <w:r>
              <w:rPr>
                <w:rFonts w:ascii="Arial" w:cs="Arial" w:eastAsia="Arial" w:hAnsi="Arial"/>
                <w:sz w:val="11"/>
                <w:szCs w:val="11"/>
                <w:color w:val="auto"/>
              </w:rPr>
              <w:t>Transactions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84,183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236,997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392,490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(54,758)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925,490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1,263,169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CHANGES IN STOCKHOLDERS’ / MEMBERS’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10"/>
          </w:tcPr>
          <w:p>
            <w:pPr>
              <w:jc w:val="right"/>
              <w:spacing w:after="0"/>
              <w:rPr>
                <w:sz w:val="20"/>
                <w:szCs w:val="20"/>
                <w:color w:val="auto"/>
              </w:rPr>
            </w:pPr>
            <w:r>
              <w:rPr>
                <w:rFonts w:ascii="Arial" w:cs="Arial" w:eastAsia="Arial" w:hAnsi="Arial"/>
                <w:sz w:val="11"/>
                <w:szCs w:val="11"/>
                <w:b w:val="1"/>
                <w:bCs w:val="1"/>
                <w:color w:val="auto"/>
              </w:rPr>
              <w:t>Nine months ended Sep. 30, 2021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8"/>
          </w:tcPr>
          <w:p>
            <w:pPr>
              <w:jc w:val="right"/>
              <w:ind w:right="180"/>
              <w:spacing w:after="0"/>
              <w:rPr>
                <w:sz w:val="20"/>
                <w:szCs w:val="20"/>
                <w:color w:val="auto"/>
              </w:rPr>
            </w:pPr>
            <w:r>
              <w:rPr>
                <w:rFonts w:ascii="Arial" w:cs="Arial" w:eastAsia="Arial" w:hAnsi="Arial"/>
                <w:sz w:val="11"/>
                <w:szCs w:val="11"/>
                <w:b w:val="1"/>
                <w:bCs w:val="1"/>
                <w:color w:val="auto"/>
                <w:w w:val="98"/>
              </w:rPr>
              <w:t>Class A Common Stock</w:t>
            </w:r>
          </w:p>
        </w:tc>
        <w:tc>
          <w:tcPr>
            <w:tcW w:w="1440" w:type="dxa"/>
            <w:vAlign w:val="bottom"/>
            <w:gridSpan w:val="8"/>
          </w:tcPr>
          <w:p>
            <w:pPr>
              <w:jc w:val="right"/>
              <w:ind w:right="140"/>
              <w:spacing w:after="0"/>
              <w:rPr>
                <w:sz w:val="20"/>
                <w:szCs w:val="20"/>
                <w:color w:val="auto"/>
              </w:rPr>
            </w:pPr>
            <w:r>
              <w:rPr>
                <w:rFonts w:ascii="Arial" w:cs="Arial" w:eastAsia="Arial" w:hAnsi="Arial"/>
                <w:sz w:val="11"/>
                <w:szCs w:val="11"/>
                <w:b w:val="1"/>
                <w:bCs w:val="1"/>
                <w:color w:val="auto"/>
              </w:rPr>
              <w:t>Class B Common Stock</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6"/>
              </w:rPr>
              <w:t>Additional</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line="20" w:lineRule="exact"/>
              <w:rPr>
                <w:sz w:val="1"/>
                <w:szCs w:val="1"/>
                <w:color w:val="auto"/>
              </w:rPr>
            </w:pPr>
          </w:p>
        </w:tc>
        <w:tc>
          <w:tcPr>
            <w:tcW w:w="1240" w:type="dxa"/>
            <w:vAlign w:val="bottom"/>
            <w:gridSpan w:val="3"/>
            <w:vMerge w:val="restart"/>
          </w:tcPr>
          <w:p>
            <w:pPr>
              <w:jc w:val="center"/>
              <w:ind w:right="66"/>
              <w:spacing w:after="0"/>
              <w:rPr>
                <w:sz w:val="20"/>
                <w:szCs w:val="20"/>
                <w:color w:val="auto"/>
              </w:rPr>
            </w:pPr>
            <w:r>
              <w:rPr>
                <w:rFonts w:ascii="Arial" w:cs="Arial" w:eastAsia="Arial" w:hAnsi="Arial"/>
                <w:sz w:val="11"/>
                <w:szCs w:val="11"/>
                <w:b w:val="1"/>
                <w:bCs w:val="1"/>
                <w:color w:val="auto"/>
                <w:w w:val="98"/>
              </w:rPr>
              <w:t>Accumulated Other</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center"/>
              <w:ind w:left="86"/>
              <w:spacing w:after="0"/>
              <w:rPr>
                <w:sz w:val="20"/>
                <w:szCs w:val="20"/>
                <w:color w:val="auto"/>
              </w:rPr>
            </w:pPr>
            <w:r>
              <w:rPr>
                <w:rFonts w:ascii="Arial" w:cs="Arial" w:eastAsia="Arial" w:hAnsi="Arial"/>
                <w:sz w:val="11"/>
                <w:szCs w:val="11"/>
                <w:b w:val="1"/>
                <w:bCs w:val="1"/>
                <w:color w:val="auto"/>
              </w:rPr>
              <w:t>Non-</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w w:val="97"/>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340" w:type="dxa"/>
            <w:vAlign w:val="bottom"/>
            <w:gridSpan w:val="4"/>
          </w:tcPr>
          <w:p>
            <w:pPr>
              <w:jc w:val="center"/>
              <w:spacing w:after="0" w:line="108" w:lineRule="exact"/>
              <w:rPr>
                <w:sz w:val="20"/>
                <w:szCs w:val="20"/>
                <w:color w:val="auto"/>
              </w:rPr>
            </w:pPr>
            <w:r>
              <w:rPr>
                <w:rFonts w:ascii="Arial" w:cs="Arial" w:eastAsia="Arial" w:hAnsi="Arial"/>
                <w:sz w:val="11"/>
                <w:szCs w:val="11"/>
                <w:b w:val="1"/>
                <w:bCs w:val="1"/>
                <w:color w:val="auto"/>
                <w:w w:val="98"/>
              </w:rPr>
              <w:t>Comprehensive Income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5"/>
          </w:tcPr>
          <w:p>
            <w:pPr>
              <w:jc w:val="right"/>
              <w:ind w:right="220"/>
              <w:spacing w:after="0" w:line="108" w:lineRule="exact"/>
              <w:rPr>
                <w:sz w:val="20"/>
                <w:szCs w:val="20"/>
                <w:color w:val="auto"/>
              </w:rPr>
            </w:pPr>
            <w:r>
              <w:rPr>
                <w:rFonts w:ascii="Arial" w:cs="Arial" w:eastAsia="Arial" w:hAnsi="Arial"/>
                <w:sz w:val="11"/>
                <w:szCs w:val="11"/>
                <w:b w:val="1"/>
                <w:bCs w:val="1"/>
                <w:color w:val="auto"/>
              </w:rPr>
              <w:t>Controlling</w:t>
            </w: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Paid-In Capital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2"/>
                <w:szCs w:val="12"/>
                <w:color w:val="auto"/>
              </w:rPr>
            </w:pPr>
          </w:p>
        </w:tc>
        <w:tc>
          <w:tcPr>
            <w:tcW w:w="960" w:type="dxa"/>
            <w:vAlign w:val="bottom"/>
          </w:tcPr>
          <w:p>
            <w:pPr>
              <w:jc w:val="center"/>
              <w:ind w:left="106"/>
              <w:spacing w:after="0"/>
              <w:rPr>
                <w:sz w:val="20"/>
                <w:szCs w:val="20"/>
                <w:color w:val="auto"/>
              </w:rPr>
            </w:pPr>
            <w:r>
              <w:rPr>
                <w:rFonts w:ascii="Arial" w:cs="Arial" w:eastAsia="Arial" w:hAnsi="Arial"/>
                <w:sz w:val="11"/>
                <w:szCs w:val="11"/>
                <w:b w:val="1"/>
                <w:bCs w:val="1"/>
                <w:color w:val="auto"/>
                <w:w w:val="96"/>
              </w:rPr>
              <w:t>(Loss)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left="86"/>
              <w:spacing w:after="0"/>
              <w:rPr>
                <w:sz w:val="20"/>
                <w:szCs w:val="20"/>
                <w:color w:val="auto"/>
              </w:rPr>
            </w:pPr>
            <w:r>
              <w:rPr>
                <w:rFonts w:ascii="Arial" w:cs="Arial" w:eastAsia="Arial" w:hAnsi="Arial"/>
                <w:sz w:val="11"/>
                <w:szCs w:val="11"/>
                <w:b w:val="1"/>
                <w:bCs w:val="1"/>
                <w:color w:val="auto"/>
                <w:w w:val="95"/>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2021</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84,196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236,997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399,169</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(18,802)</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gridSpan w:val="4"/>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1,018,739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1,399,155</w:t>
            </w:r>
          </w:p>
        </w:tc>
        <w:tc>
          <w:tcPr>
            <w:tcW w:w="0" w:type="dxa"/>
            <w:vAlign w:val="bottom"/>
          </w:tcPr>
          <w:p>
            <w:pPr>
              <w:spacing w:after="0"/>
              <w:rPr>
                <w:sz w:val="1"/>
                <w:szCs w:val="1"/>
                <w:color w:val="auto"/>
              </w:rPr>
            </w:pPr>
          </w:p>
        </w:tc>
      </w:tr>
      <w:tr>
        <w:trPr>
          <w:trHeight w:val="98"/>
        </w:trPr>
        <w:tc>
          <w:tcPr>
            <w:tcW w:w="2960" w:type="dxa"/>
            <w:vAlign w:val="bottom"/>
            <w:gridSpan w:val="3"/>
          </w:tcPr>
          <w:p>
            <w:pPr>
              <w:ind w:left="20"/>
              <w:spacing w:after="0" w:line="99" w:lineRule="exact"/>
              <w:rPr>
                <w:sz w:val="20"/>
                <w:szCs w:val="20"/>
                <w:color w:val="auto"/>
              </w:rPr>
            </w:pPr>
            <w:r>
              <w:rPr>
                <w:rFonts w:ascii="Arial" w:cs="Arial" w:eastAsia="Arial" w:hAnsi="Arial"/>
                <w:sz w:val="11"/>
                <w:szCs w:val="11"/>
                <w:color w:val="auto"/>
              </w:rPr>
              <w:t>Issuance of Class A common shares related to share-</w:t>
            </w: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based compensation plans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476</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(34,262)</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(67,612)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(101,874)</w:t>
            </w:r>
          </w:p>
        </w:tc>
        <w:tc>
          <w:tcPr>
            <w:tcW w:w="0" w:type="dxa"/>
            <w:vAlign w:val="bottom"/>
          </w:tcPr>
          <w:p>
            <w:pPr>
              <w:spacing w:after="0"/>
              <w:rPr>
                <w:sz w:val="1"/>
                <w:szCs w:val="1"/>
                <w:color w:val="auto"/>
              </w:rPr>
            </w:pPr>
          </w:p>
        </w:tc>
      </w:tr>
      <w:tr>
        <w:trPr>
          <w:trHeight w:val="140"/>
        </w:trPr>
        <w:tc>
          <w:tcPr>
            <w:tcW w:w="226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20,100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20,100</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1"/>
              </w:rPr>
              <w:t>(47)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0"/>
        </w:trPr>
        <w:tc>
          <w:tcPr>
            <w:tcW w:w="2260" w:type="dxa"/>
            <w:vAlign w:val="bottom"/>
          </w:tcPr>
          <w:p>
            <w:pPr>
              <w:ind w:left="20"/>
              <w:spacing w:after="0"/>
              <w:rPr>
                <w:sz w:val="20"/>
                <w:szCs w:val="20"/>
                <w:color w:val="auto"/>
              </w:rPr>
            </w:pPr>
            <w:r>
              <w:rPr>
                <w:rFonts w:ascii="Arial" w:cs="Arial" w:eastAsia="Arial" w:hAnsi="Arial"/>
                <w:sz w:val="11"/>
                <w:szCs w:val="11"/>
                <w:color w:val="auto"/>
              </w:rPr>
              <w:t>Forfeitures of Time-Vesting Units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(579)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of LLC Interests</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30,423</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(30,423)</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130,710</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1"/>
                <w:szCs w:val="11"/>
                <w:color w:val="auto"/>
              </w:rPr>
              <w:t>(130,710)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Balance at Sep. 30, 2021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114,713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205,995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550,455</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(53,064)</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820,370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1,317,789</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1"/>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12"/>
          </w:tcPr>
          <w:p>
            <w:pPr>
              <w:ind w:left="40"/>
              <w:spacing w:after="0"/>
              <w:rPr>
                <w:sz w:val="20"/>
                <w:szCs w:val="20"/>
                <w:color w:val="auto"/>
              </w:rPr>
            </w:pPr>
            <w:r>
              <w:rPr>
                <w:rFonts w:ascii="Arial" w:cs="Arial" w:eastAsia="Arial" w:hAnsi="Arial"/>
                <w:sz w:val="11"/>
                <w:szCs w:val="11"/>
                <w:b w:val="1"/>
                <w:bCs w:val="1"/>
                <w:color w:val="auto"/>
              </w:rPr>
              <w:t>Nine months ended Sep. 30, 2020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7"/>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7"/>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7"/>
          </w:tcPr>
          <w:p>
            <w:pPr>
              <w:jc w:val="center"/>
              <w:spacing w:after="0"/>
              <w:rPr>
                <w:sz w:val="20"/>
                <w:szCs w:val="20"/>
                <w:color w:val="auto"/>
              </w:rPr>
            </w:pPr>
            <w:r>
              <w:rPr>
                <w:rFonts w:ascii="Arial" w:cs="Arial" w:eastAsia="Arial" w:hAnsi="Arial"/>
                <w:sz w:val="11"/>
                <w:szCs w:val="11"/>
                <w:b w:val="1"/>
                <w:bCs w:val="1"/>
                <w:color w:val="auto"/>
                <w:w w:val="98"/>
              </w:rPr>
              <w:t>Class A Common Stock</w:t>
            </w:r>
          </w:p>
        </w:tc>
        <w:tc>
          <w:tcPr>
            <w:tcW w:w="100" w:type="dxa"/>
            <w:vAlign w:val="bottom"/>
          </w:tcPr>
          <w:p>
            <w:pPr>
              <w:spacing w:after="0"/>
              <w:rPr>
                <w:sz w:val="11"/>
                <w:szCs w:val="11"/>
                <w:color w:val="auto"/>
              </w:rPr>
            </w:pPr>
          </w:p>
        </w:tc>
        <w:tc>
          <w:tcPr>
            <w:tcW w:w="1340" w:type="dxa"/>
            <w:vAlign w:val="bottom"/>
            <w:gridSpan w:val="7"/>
          </w:tcPr>
          <w:p>
            <w:pPr>
              <w:jc w:val="right"/>
              <w:ind w:right="60"/>
              <w:spacing w:after="0"/>
              <w:rPr>
                <w:sz w:val="20"/>
                <w:szCs w:val="20"/>
                <w:color w:val="auto"/>
              </w:rPr>
            </w:pPr>
            <w:r>
              <w:rPr>
                <w:rFonts w:ascii="Arial" w:cs="Arial" w:eastAsia="Arial" w:hAnsi="Arial"/>
                <w:sz w:val="11"/>
                <w:szCs w:val="11"/>
                <w:b w:val="1"/>
                <w:bCs w:val="1"/>
                <w:color w:val="auto"/>
              </w:rPr>
              <w:t>Class B Common Stock</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97"/>
              </w:rPr>
              <w:t>Members’</w:t>
            </w: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Non-</w:t>
            </w:r>
          </w:p>
        </w:tc>
        <w:tc>
          <w:tcPr>
            <w:tcW w:w="20" w:type="dxa"/>
            <w:vAlign w:val="bottom"/>
          </w:tcPr>
          <w:p>
            <w:pPr>
              <w:spacing w:after="0" w:line="20" w:lineRule="exact"/>
              <w:rPr>
                <w:sz w:val="1"/>
                <w:szCs w:val="1"/>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99"/>
              </w:rPr>
              <w:t>Stockholders’/Members’</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9"/>
                <w:szCs w:val="9"/>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8"/>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9"/>
                <w:szCs w:val="9"/>
                <w:color w:val="auto"/>
              </w:rPr>
            </w:pPr>
          </w:p>
        </w:tc>
        <w:tc>
          <w:tcPr>
            <w:tcW w:w="880" w:type="dxa"/>
            <w:vAlign w:val="bottom"/>
            <w:gridSpan w:val="5"/>
          </w:tcPr>
          <w:p>
            <w:pPr>
              <w:jc w:val="center"/>
              <w:ind w:right="60"/>
              <w:spacing w:after="0" w:line="108" w:lineRule="exact"/>
              <w:rPr>
                <w:sz w:val="20"/>
                <w:szCs w:val="20"/>
                <w:color w:val="auto"/>
              </w:rPr>
            </w:pPr>
            <w:r>
              <w:rPr>
                <w:rFonts w:ascii="Arial" w:cs="Arial" w:eastAsia="Arial" w:hAnsi="Arial"/>
                <w:sz w:val="11"/>
                <w:szCs w:val="11"/>
                <w:b w:val="1"/>
                <w:bCs w:val="1"/>
                <w:color w:val="auto"/>
                <w:w w:val="98"/>
              </w:rPr>
              <w:t>Controlling</w:t>
            </w:r>
          </w:p>
        </w:tc>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2"/>
                <w:szCs w:val="12"/>
                <w:color w:val="auto"/>
              </w:rPr>
            </w:pPr>
          </w:p>
        </w:tc>
        <w:tc>
          <w:tcPr>
            <w:tcW w:w="960" w:type="dxa"/>
            <w:vAlign w:val="bottom"/>
          </w:tcPr>
          <w:p>
            <w:pPr>
              <w:jc w:val="center"/>
              <w:ind w:right="46"/>
              <w:spacing w:after="0"/>
              <w:rPr>
                <w:sz w:val="20"/>
                <w:szCs w:val="20"/>
                <w:color w:val="auto"/>
              </w:rPr>
            </w:pPr>
            <w:r>
              <w:rPr>
                <w:rFonts w:ascii="Arial" w:cs="Arial" w:eastAsia="Arial" w:hAnsi="Arial"/>
                <w:sz w:val="11"/>
                <w:szCs w:val="11"/>
                <w:b w:val="1"/>
                <w:bCs w:val="1"/>
                <w:color w:val="auto"/>
                <w:w w:val="99"/>
              </w:rPr>
              <w:t>Income (Loss)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4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Jan. 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860,144</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3"/>
        </w:trPr>
        <w:tc>
          <w:tcPr>
            <w:tcW w:w="2260" w:type="dxa"/>
            <w:vAlign w:val="bottom"/>
          </w:tcPr>
          <w:p>
            <w:pPr>
              <w:ind w:left="20"/>
              <w:spacing w:after="0"/>
              <w:rPr>
                <w:sz w:val="20"/>
                <w:szCs w:val="20"/>
                <w:color w:val="auto"/>
              </w:rPr>
            </w:pPr>
            <w:r>
              <w:rPr>
                <w:rFonts w:ascii="Arial" w:cs="Arial" w:eastAsia="Arial" w:hAnsi="Arial"/>
                <w:sz w:val="11"/>
                <w:szCs w:val="11"/>
                <w:color w:val="auto"/>
              </w:rPr>
              <w:t>Issuance of Senior Preferred Earnout Units</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100,000</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Issuance of Common Earnout Units</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260" w:type="dxa"/>
            <w:vAlign w:val="bottom"/>
          </w:tcPr>
          <w:p>
            <w:pPr>
              <w:ind w:left="20"/>
              <w:spacing w:after="0"/>
              <w:rPr>
                <w:sz w:val="20"/>
                <w:szCs w:val="20"/>
                <w:color w:val="auto"/>
              </w:rPr>
            </w:pPr>
            <w:r>
              <w:rPr>
                <w:rFonts w:ascii="Arial" w:cs="Arial" w:eastAsia="Arial" w:hAnsi="Arial"/>
                <w:sz w:val="11"/>
                <w:szCs w:val="11"/>
                <w:color w:val="auto"/>
              </w:rPr>
              <w:t>Issuance of common units</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prior to the Transactions</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(25,465)</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226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 prior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to the Transactions</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prior to the Transactions</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(59)</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260" w:type="dxa"/>
            <w:vAlign w:val="bottom"/>
          </w:tcPr>
          <w:p>
            <w:pPr>
              <w:ind w:left="20"/>
              <w:spacing w:after="0"/>
              <w:rPr>
                <w:sz w:val="20"/>
                <w:szCs w:val="20"/>
                <w:color w:val="auto"/>
              </w:rPr>
            </w:pPr>
            <w:r>
              <w:rPr>
                <w:rFonts w:ascii="Arial" w:cs="Arial" w:eastAsia="Arial" w:hAnsi="Arial"/>
                <w:sz w:val="11"/>
                <w:szCs w:val="11"/>
                <w:color w:val="auto"/>
              </w:rPr>
              <w:t>Effect of the Transactions</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(1,045,802)</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1"/>
                <w:szCs w:val="11"/>
                <w:color w:val="auto"/>
              </w:rPr>
              <w:t>307,980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(524,977)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1,570,748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1,045,802</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Issuance of common stock sold in IPO, net</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of offering costs</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43,500</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852,403</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852,407</w:t>
            </w:r>
          </w:p>
        </w:tc>
        <w:tc>
          <w:tcPr>
            <w:tcW w:w="0" w:type="dxa"/>
            <w:vAlign w:val="bottom"/>
          </w:tcPr>
          <w:p>
            <w:pPr>
              <w:spacing w:after="0"/>
              <w:rPr>
                <w:sz w:val="1"/>
                <w:szCs w:val="1"/>
                <w:color w:val="auto"/>
              </w:rPr>
            </w:pPr>
          </w:p>
        </w:tc>
      </w:tr>
      <w:tr>
        <w:trPr>
          <w:trHeight w:val="140"/>
        </w:trPr>
        <w:tc>
          <w:tcPr>
            <w:tcW w:w="2260" w:type="dxa"/>
            <w:vAlign w:val="bottom"/>
          </w:tcPr>
          <w:p>
            <w:pPr>
              <w:ind w:left="20"/>
              <w:spacing w:after="0"/>
              <w:rPr>
                <w:sz w:val="20"/>
                <w:szCs w:val="20"/>
                <w:color w:val="auto"/>
              </w:rPr>
            </w:pPr>
            <w:r>
              <w:rPr>
                <w:rFonts w:ascii="Arial" w:cs="Arial" w:eastAsia="Arial" w:hAnsi="Arial"/>
                <w:sz w:val="11"/>
                <w:szCs w:val="11"/>
                <w:color w:val="auto"/>
              </w:rPr>
              <w:t>Effect of the Blocker Merger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1"/>
                <w:szCs w:val="11"/>
                <w:color w:val="auto"/>
              </w:rPr>
              <w:t>40,683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720" w:type="dxa"/>
            <w:vAlign w:val="bottom"/>
            <w:gridSpan w:val="3"/>
          </w:tcPr>
          <w:p>
            <w:pPr>
              <w:jc w:val="right"/>
              <w:ind w:right="20"/>
              <w:spacing w:after="0"/>
              <w:rPr>
                <w:sz w:val="20"/>
                <w:szCs w:val="20"/>
                <w:color w:val="auto"/>
              </w:rPr>
            </w:pPr>
            <w:r>
              <w:rPr>
                <w:rFonts w:ascii="Arial" w:cs="Arial" w:eastAsia="Arial" w:hAnsi="Arial"/>
                <w:sz w:val="11"/>
                <w:szCs w:val="11"/>
                <w:color w:val="auto"/>
              </w:rPr>
              <w:t>(45,503)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(96,164)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(96,165)</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purchase of LLC Interests</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(25,480)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(508,318)</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(508,320)</w:t>
            </w:r>
          </w:p>
        </w:tc>
        <w:tc>
          <w:tcPr>
            <w:tcW w:w="0" w:type="dxa"/>
            <w:vAlign w:val="bottom"/>
          </w:tcPr>
          <w:p>
            <w:pPr>
              <w:spacing w:after="0"/>
              <w:rPr>
                <w:sz w:val="1"/>
                <w:szCs w:val="1"/>
                <w:color w:val="auto"/>
              </w:rPr>
            </w:pPr>
          </w:p>
        </w:tc>
      </w:tr>
      <w:tr>
        <w:trPr>
          <w:trHeight w:val="118"/>
        </w:trPr>
        <w:tc>
          <w:tcPr>
            <w:tcW w:w="2260" w:type="dxa"/>
            <w:vAlign w:val="bottom"/>
          </w:tcPr>
          <w:p>
            <w:pPr>
              <w:ind w:left="20"/>
              <w:spacing w:after="0" w:line="119" w:lineRule="exact"/>
              <w:rPr>
                <w:sz w:val="20"/>
                <w:szCs w:val="20"/>
                <w:color w:val="auto"/>
              </w:rPr>
            </w:pPr>
            <w:r>
              <w:rPr>
                <w:rFonts w:ascii="Arial" w:cs="Arial" w:eastAsia="Arial" w:hAnsi="Arial"/>
                <w:sz w:val="11"/>
                <w:szCs w:val="11"/>
                <w:color w:val="auto"/>
              </w:rPr>
              <w:t>Settlement of Senior Preferred Earnout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Units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(100,000)</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Assumption of contingent consideration</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by significant shareholder</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62,400</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62,400</w:t>
            </w:r>
          </w:p>
        </w:tc>
        <w:tc>
          <w:tcPr>
            <w:tcW w:w="0" w:type="dxa"/>
            <w:vAlign w:val="bottom"/>
          </w:tcPr>
          <w:p>
            <w:pPr>
              <w:spacing w:after="0"/>
              <w:rPr>
                <w:sz w:val="1"/>
                <w:szCs w:val="1"/>
                <w:color w:val="auto"/>
              </w:rPr>
            </w:pPr>
          </w:p>
        </w:tc>
      </w:tr>
      <w:tr>
        <w:trPr>
          <w:trHeight w:val="118"/>
        </w:trPr>
        <w:tc>
          <w:tcPr>
            <w:tcW w:w="226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 upon</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vesting of performance-based profit units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5"/>
              </w:rPr>
              <w:t>209,300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209,300</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subsequent to the Transactions</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(54,758)</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(150,076)</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(204,834)</w:t>
            </w:r>
          </w:p>
        </w:tc>
        <w:tc>
          <w:tcPr>
            <w:tcW w:w="0" w:type="dxa"/>
            <w:vAlign w:val="bottom"/>
          </w:tcPr>
          <w:p>
            <w:pPr>
              <w:spacing w:after="0"/>
              <w:rPr>
                <w:sz w:val="1"/>
                <w:szCs w:val="1"/>
                <w:color w:val="auto"/>
              </w:rPr>
            </w:pPr>
          </w:p>
        </w:tc>
      </w:tr>
      <w:tr>
        <w:trPr>
          <w:trHeight w:val="118"/>
        </w:trPr>
        <w:tc>
          <w:tcPr>
            <w:tcW w:w="2260" w:type="dxa"/>
            <w:vAlign w:val="bottom"/>
          </w:tcPr>
          <w:p>
            <w:pPr>
              <w:ind w:left="20"/>
              <w:spacing w:after="0" w:line="119" w:lineRule="exact"/>
              <w:rPr>
                <w:sz w:val="20"/>
                <w:szCs w:val="20"/>
                <w:color w:val="auto"/>
              </w:rPr>
            </w:pPr>
            <w:r>
              <w:rPr>
                <w:rFonts w:ascii="Arial" w:cs="Arial" w:eastAsia="Arial" w:hAnsi="Arial"/>
                <w:sz w:val="11"/>
                <w:szCs w:val="11"/>
                <w:color w:val="auto"/>
              </w:rPr>
              <w:t>Share-based compensation expense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60" w:type="dxa"/>
            <w:vAlign w:val="bottom"/>
          </w:tcPr>
          <w:p>
            <w:pPr>
              <w:ind w:left="20"/>
              <w:spacing w:after="0"/>
              <w:rPr>
                <w:sz w:val="20"/>
                <w:szCs w:val="20"/>
                <w:color w:val="auto"/>
              </w:rPr>
            </w:pPr>
            <w:r>
              <w:rPr>
                <w:rFonts w:ascii="Arial" w:cs="Arial" w:eastAsia="Arial" w:hAnsi="Arial"/>
                <w:sz w:val="11"/>
                <w:szCs w:val="11"/>
                <w:color w:val="auto"/>
              </w:rPr>
              <w:t>subsequent to the Transactions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2,664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2,664</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translation adjustment</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subsequent to the Transactions</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Balance at Sep.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84,183</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236,997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392,490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(54,758)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5"/>
              </w:rPr>
              <w:t>925,490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1,263,169</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146"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Nine months ended</w:t>
      </w:r>
    </w:p>
    <w:p>
      <w:pPr>
        <w:jc w:val="center"/>
        <w:ind w:left="8720"/>
        <w:spacing w:after="0"/>
        <w:rPr>
          <w:sz w:val="20"/>
          <w:szCs w:val="20"/>
          <w:color w:val="auto"/>
        </w:rPr>
      </w:pPr>
      <w:r>
        <w:rPr>
          <w:rFonts w:ascii="Arial" w:cs="Arial" w:eastAsia="Arial" w:hAnsi="Arial"/>
          <w:sz w:val="14"/>
          <w:szCs w:val="14"/>
          <w:b w:val="1"/>
          <w:bCs w:val="1"/>
          <w:color w:val="auto"/>
        </w:rPr>
        <w:t>Sep.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8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(101,874)</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(230,299)</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213,146</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w:t>
            </w: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70,543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70,543</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Loss on sublease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70"/>
        </w:trPr>
        <w:tc>
          <w:tcPr>
            <w:tcW w:w="87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14,860</w:t>
            </w:r>
          </w:p>
        </w:tc>
        <w:tc>
          <w:tcPr>
            <w:tcW w:w="0" w:type="dxa"/>
            <w:vAlign w:val="bottom"/>
          </w:tcPr>
          <w:p>
            <w:pPr>
              <w:spacing w:after="0"/>
              <w:rPr>
                <w:sz w:val="1"/>
                <w:szCs w:val="1"/>
                <w:color w:val="auto"/>
              </w:rPr>
            </w:pPr>
          </w:p>
        </w:tc>
      </w:tr>
      <w:tr>
        <w:trPr>
          <w:trHeight w:val="168"/>
        </w:trPr>
        <w:tc>
          <w:tcPr>
            <w:tcW w:w="87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(160,982)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(117,888)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(10,884)</w:t>
            </w:r>
          </w:p>
        </w:tc>
        <w:tc>
          <w:tcPr>
            <w:tcW w:w="0" w:type="dxa"/>
            <w:vAlign w:val="bottom"/>
          </w:tcPr>
          <w:p>
            <w:pPr>
              <w:spacing w:after="0"/>
              <w:rPr>
                <w:sz w:val="1"/>
                <w:szCs w:val="1"/>
                <w:color w:val="auto"/>
              </w:rPr>
            </w:pPr>
          </w:p>
        </w:tc>
      </w:tr>
      <w:tr>
        <w:trPr>
          <w:trHeight w:val="167"/>
        </w:trPr>
        <w:tc>
          <w:tcPr>
            <w:tcW w:w="87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18,298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(4,402)</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68"/>
        </w:trPr>
        <w:tc>
          <w:tcPr>
            <w:tcW w:w="87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40,188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27,983</w:t>
            </w: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4,138</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(72,419)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28,835</w:t>
            </w:r>
          </w:p>
        </w:tc>
        <w:tc>
          <w:tcPr>
            <w:tcW w:w="0" w:type="dxa"/>
            <w:vAlign w:val="bottom"/>
          </w:tcPr>
          <w:p>
            <w:pPr>
              <w:spacing w:after="0"/>
              <w:rPr>
                <w:sz w:val="1"/>
                <w:szCs w:val="1"/>
                <w:color w:val="auto"/>
              </w:rPr>
            </w:pPr>
          </w:p>
        </w:tc>
      </w:tr>
      <w:tr>
        <w:trPr>
          <w:trHeight w:val="152"/>
        </w:trPr>
        <w:tc>
          <w:tcPr>
            <w:tcW w:w="87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(12,023)</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(19,269)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(12,023)</w:t>
            </w: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Proceeds from borrowings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335,000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w:t>
            </w:r>
          </w:p>
        </w:tc>
        <w:tc>
          <w:tcPr>
            <w:tcW w:w="0" w:type="dxa"/>
            <w:vAlign w:val="bottom"/>
          </w:tcPr>
          <w:p>
            <w:pPr>
              <w:spacing w:after="0"/>
              <w:rPr>
                <w:sz w:val="1"/>
                <w:szCs w:val="1"/>
                <w:color w:val="auto"/>
              </w:rPr>
            </w:pPr>
          </w:p>
        </w:tc>
      </w:tr>
      <w:tr>
        <w:trPr>
          <w:trHeight w:val="168"/>
        </w:trPr>
        <w:tc>
          <w:tcPr>
            <w:tcW w:w="874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740" w:type="dxa"/>
            <w:vAlign w:val="bottom"/>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852,407</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partial consideration to Blocker Shareholders in the Blocker Merger</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(96,165)</w:t>
            </w:r>
          </w:p>
        </w:tc>
        <w:tc>
          <w:tcPr>
            <w:tcW w:w="0" w:type="dxa"/>
            <w:vAlign w:val="bottom"/>
          </w:tcPr>
          <w:p>
            <w:pPr>
              <w:spacing w:after="0"/>
              <w:rPr>
                <w:sz w:val="1"/>
                <w:szCs w:val="1"/>
                <w:color w:val="auto"/>
              </w:rPr>
            </w:pPr>
          </w:p>
        </w:tc>
      </w:tr>
      <w:tr>
        <w:trPr>
          <w:trHeight w:val="167"/>
        </w:trPr>
        <w:tc>
          <w:tcPr>
            <w:tcW w:w="8740" w:type="dxa"/>
            <w:vAlign w:val="bottom"/>
          </w:tcPr>
          <w:p>
            <w:pPr>
              <w:ind w:left="20"/>
              <w:spacing w:after="0"/>
              <w:rPr>
                <w:sz w:val="20"/>
                <w:szCs w:val="20"/>
                <w:color w:val="auto"/>
              </w:rPr>
            </w:pPr>
            <w:r>
              <w:rPr>
                <w:rFonts w:ascii="Arial" w:cs="Arial" w:eastAsia="Arial" w:hAnsi="Arial"/>
                <w:sz w:val="13"/>
                <w:szCs w:val="13"/>
                <w:color w:val="auto"/>
              </w:rPr>
              <w:t>Purchase of LLC Interests from Continuing Equity Owners</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(508,320)</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9"/>
        </w:trPr>
        <w:tc>
          <w:tcPr>
            <w:tcW w:w="8740" w:type="dxa"/>
            <w:vAlign w:val="bottom"/>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5"/>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265,578</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5"/>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282,322</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20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85,221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294,598</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Purchases of property, equipment and software included in accounts payable</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2,734</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Issuance of Senior Preferred Earnout Units to settle contingent consideration liability</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Issuance of common A and B units to settle contingent consideration liability</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issuance of Class A and Class B common stock in connection with the Transactions</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0"/>
        </w:trPr>
        <w:tc>
          <w:tcPr>
            <w:tcW w:w="8740" w:type="dxa"/>
            <w:vAlign w:val="bottom"/>
          </w:tcPr>
          <w:p>
            <w:pPr>
              <w:ind w:left="240"/>
              <w:spacing w:after="0"/>
              <w:rPr>
                <w:sz w:val="20"/>
                <w:szCs w:val="20"/>
                <w:color w:val="auto"/>
              </w:rPr>
            </w:pPr>
            <w:r>
              <w:rPr>
                <w:rFonts w:ascii="Arial" w:cs="Arial" w:eastAsia="Arial" w:hAnsi="Arial"/>
                <w:sz w:val="13"/>
                <w:szCs w:val="13"/>
                <w:color w:val="auto"/>
              </w:rPr>
              <w:t>Settlement of contingent consideration liability</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62,400</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17" w:lineRule="exact"/>
        <w:rPr>
          <w:sz w:val="20"/>
          <w:szCs w:val="20"/>
          <w:color w:val="auto"/>
        </w:rPr>
      </w:pPr>
    </w:p>
    <w:p>
      <w:pPr>
        <w:ind w:right="5380" w:firstLine="8"/>
        <w:spacing w:after="0" w:line="541" w:lineRule="auto"/>
        <w:tabs>
          <w:tab w:leader="none" w:pos="180" w:val="left"/>
        </w:tabs>
        <w:numPr>
          <w:ilvl w:val="0"/>
          <w:numId w:val="8"/>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GoHealth, Inc. (the “Company”) is a leading health insurance marketplace and Medicare-focused digital health company whose mission is to improve access to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and other related transactions in order to carry on the business of GoHealth Holdings, LLC (formerly known as Blizzard Parent, LLC), a Delaware limited liability company, and its wholly owned subsidiaries (collectively, "GHH, LLC"). On July 17, 2020, the Company completed an initial public offering of 43,500 shares of its Class A common stock at a public offering price of $21.00 per share (“the IPO”), receiving approximately $852.4 million in net proceeds, after deducting the underwriting discount and offering expenses.</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Company’s IPO, the Company completed a series of organizational transactions (the “Transactions”). The Transactions included:</w:t>
      </w:r>
    </w:p>
    <w:p>
      <w:pPr>
        <w:spacing w:after="0" w:line="221" w:lineRule="exact"/>
        <w:rPr>
          <w:sz w:val="20"/>
          <w:szCs w:val="20"/>
          <w:color w:val="auto"/>
        </w:rPr>
      </w:pPr>
    </w:p>
    <w:p>
      <w:pPr>
        <w:ind w:left="660" w:right="12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w:t>
      </w:r>
    </w:p>
    <w:p>
      <w:pPr>
        <w:ind w:left="660"/>
        <w:spacing w:after="0"/>
        <w:rPr>
          <w:rFonts w:ascii="Arial" w:cs="Arial" w:eastAsia="Arial" w:hAnsi="Arial"/>
          <w:sz w:val="16"/>
          <w:szCs w:val="16"/>
          <w:color w:val="auto"/>
        </w:rPr>
      </w:pPr>
      <w:r>
        <w:rPr>
          <w:rFonts w:ascii="Arial" w:cs="Arial" w:eastAsia="Arial" w:hAnsi="Arial"/>
          <w:sz w:val="16"/>
          <w:szCs w:val="16"/>
          <w:color w:val="auto"/>
        </w:rPr>
        <w:t>(2) appoint the Company as the sole managing member of GHH, LLC upon its acquisition of LLC Interests in connection with the IPO;</w:t>
      </w:r>
    </w:p>
    <w:p>
      <w:pPr>
        <w:spacing w:after="0" w:line="221" w:lineRule="exact"/>
        <w:rPr>
          <w:rFonts w:ascii="Arial" w:cs="Arial" w:eastAsia="Arial" w:hAnsi="Arial"/>
          <w:sz w:val="16"/>
          <w:szCs w:val="16"/>
          <w:color w:val="auto"/>
        </w:rPr>
      </w:pPr>
    </w:p>
    <w:p>
      <w:pPr>
        <w:ind w:left="660" w:right="140" w:hanging="328"/>
        <w:spacing w:after="0" w:line="25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202" w:lineRule="exact"/>
        <w:rPr>
          <w:rFonts w:ascii="Arial" w:cs="Arial" w:eastAsia="Arial" w:hAnsi="Arial"/>
          <w:sz w:val="16"/>
          <w:szCs w:val="16"/>
          <w:color w:val="auto"/>
        </w:rPr>
      </w:pPr>
    </w:p>
    <w:p>
      <w:pPr>
        <w:ind w:left="660" w:right="180" w:hanging="328"/>
        <w:spacing w:after="0" w:line="25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issuance of 307,980 shares of the Company's Class B common stock, including the issuance of 229,399 such shares to the Continuing Equity Owners, which is equal to the number of LLC Interests held directly or indirectly by such Continuing Equity Owners immediately following the Transactions, for nominal consideration;</w:t>
      </w:r>
    </w:p>
    <w:p>
      <w:pPr>
        <w:spacing w:after="0" w:line="201"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issuance of 43,500 shares of the Company’s Class A common stock to the purchasers in the IPO in exchange for net proceeds, after taking into account the underwriting discount and offering expenses payable by the Company, of approximately $852.4 million;</w:t>
      </w:r>
    </w:p>
    <w:p>
      <w:pPr>
        <w:spacing w:after="0" w:line="195" w:lineRule="exact"/>
        <w:rPr>
          <w:rFonts w:ascii="Arial" w:cs="Arial" w:eastAsia="Arial" w:hAnsi="Arial"/>
          <w:sz w:val="16"/>
          <w:szCs w:val="16"/>
          <w:color w:val="auto"/>
        </w:rPr>
      </w:pPr>
    </w:p>
    <w:p>
      <w:pPr>
        <w:ind w:left="660" w:right="160" w:hanging="328"/>
        <w:spacing w:after="0" w:line="25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acquisition by the Company of the Blocker Company in a merger transaction (the “Blocker Merger”), which Blocker Company held 45,503 LLC interests and a corresponding amount of the Company’s Class B common stock (which shares were cancelled after the Blocker Merger), in exchange for 40,683 shares of the Company’s Class A common stock and payment of $96.2 million in cash to Blocker Shareholders;</w:t>
      </w:r>
    </w:p>
    <w:p>
      <w:pPr>
        <w:spacing w:after="0" w:line="201" w:lineRule="exact"/>
        <w:rPr>
          <w:rFonts w:ascii="Arial" w:cs="Arial" w:eastAsia="Arial" w:hAnsi="Arial"/>
          <w:sz w:val="16"/>
          <w:szCs w:val="16"/>
          <w:color w:val="auto"/>
        </w:rPr>
      </w:pPr>
    </w:p>
    <w:p>
      <w:pPr>
        <w:ind w:left="660" w:right="40" w:hanging="328"/>
        <w:spacing w:after="0" w:line="25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use of the remaining net proceeds from the IPO to (i) pay $508.3 million in cash to redeem 25,480 LLC Interests held directly or indirectly by the Continuing Equity Owners, (ii) satisfy in full $100.0 million in aggregate face amount of senior preferred earnout units in connection with the Transactions, and (iii) use for general corporate purposes; and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3" w:name="page14"/>
    <w:bookmarkEnd w:id="13"/>
    <w:p>
      <w:pPr>
        <w:jc w:val="both"/>
        <w:ind w:left="660" w:right="12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entered into (1) a stockholders’ agreement with Centerbridge and NVX Holdings, Inc., (2) a registration rights agreement with certain of the Continuing Equity Owners and (3) a tax receivable agreement with GHH, LLC, the Continuing Equity Owners and the Blocker Shareholders.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207"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Immediately following the completion of the Transactions and the IPO, the Company owned 26.8% of the economic interests in GHH, LLC, while the Continuing Equity Owners owned the remaining 73.2% of the economic interests in GHH, LLC. Net income and loss is allocated to the Continuing Equity Owners on a pro rata basis, assuming that any Class B common units that are subject to time-based vesting requirements are fully vested.</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Transactions were considered transactions between entities under common control. As a result, the financial statements for periods prior to the IPO and the Transactions have been adjusted to combine the previously separate entities for presentation purposes.</w:t>
      </w:r>
    </w:p>
    <w:p>
      <w:pPr>
        <w:spacing w:after="0" w:line="19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 On August 15, 2019, GHH, LLC entered into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including a reclassification of unbilled receivables that was previously reported within accounts receivables, net, to prepaid expenses and other current assets within the Condensed Consolidated Balance Sheets and Condensed Consolidated Statements of Cash Flows. Refer to Note 9, “Revenue,” for information on unbilled receivables. These reclassifications had no impact on the Company’s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majority of the Company’s individual and family health insurance plans are sold in its fourth quarter during the annual open enrollment period as defined under the federal Patient Protection and ACA and related amendments in the Health Care and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4" w:name="page15"/>
    <w:bookmarkEnd w:id="14"/>
    <w:p>
      <w:pPr>
        <w:spacing w:after="0" w:line="252" w:lineRule="auto"/>
        <w:rPr>
          <w:sz w:val="20"/>
          <w:szCs w:val="20"/>
          <w:color w:val="auto"/>
        </w:rPr>
      </w:pPr>
      <w:r>
        <w:rPr>
          <w:rFonts w:ascii="Arial" w:cs="Arial" w:eastAsia="Arial" w:hAnsi="Arial"/>
          <w:sz w:val="16"/>
          <w:szCs w:val="16"/>
          <w:color w:val="auto"/>
        </w:rPr>
        <w:t>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Not Yet Adopted</w:t>
      </w:r>
    </w:p>
    <w:p>
      <w:pPr>
        <w:spacing w:after="0" w:line="23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Company qualifies as an “emerging growth company” pursuant to the provisions of the Jumpstart Our Business Startups Act (“JOBS Act”). The JOBS Act allows an emerging growth company to delay adoption of new or revised accounting standards applicable to public companies until such standards are applicable to private companies. The Company has elected to use the adoption dates applicable to private companies. In the event that the Company no longer meets the requirements of being an emerging growth company, the effective adoption dates of such standards would be that of non-emerging growth companies.</w:t>
      </w:r>
    </w:p>
    <w:p>
      <w:pPr>
        <w:spacing w:after="0" w:line="20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As the Company expects to lose its emerging growth company (“EGC”) status as of December 31, 2021, the new guidance will be effective January 1, 2021 and will be applied in the Company’s Annual Report on Form 10-K for the year ending December 31, 2021. The Company expects to elect the optional transition method which allows entities to continue to apply historical accounting guidance in the comparative periods presented in the year of adoption. At transition, lessees and lessors may elect to apply a package of practical expedients permitting entities not to reassess: (i) 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The Company expects to apply the package of practical expedients upon adoption. While we are still finalizing the impact this guidance will have on our consolidated financial statements, based on our lease portfolio as of January 1, 2021, the Company expects it will record right-of-use assets and lease liabilities, primarily related to real estate, in a range of $25 million to $30 million upon adoption of this guidance. We currently do not expect the amended guidance to have any other material impacts on our financial statements.</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In November 2019, the FASB issued ASU 2019-11,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As the Company expects to lose its EGC status as of December 31, 2021, the new guidance will be effective January 1, 2021 and will be applied in the Company’s Annual Report on Form 10-K for the year ending December 31, 2021. The Company is currently evaluating the new guidance to determine the impact it will have on its Condensed Consolidated Financial Statements and related disclosures.</w:t>
      </w:r>
    </w:p>
    <w:p>
      <w:pPr>
        <w:spacing w:after="0" w:line="213"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In December 2019, the FASB issued ASU 2019-12, Simplifying the Accounting for Income Taxes (Topic 740). The guidance simplifies the accounting for income taxes. As the Company expects to lose its EGC status as of December 31, 2021, the new guidance will be effective January 1, 2021 and will be applied in the Company’s Annual Report on Form 10-K for the year ending December 31, 2021. The Company is currently evaluating the guidance to determine the impact it will have on its Condensed Consolidated Financial Statements and related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FAIR VALUE MEASUREMENTS</w:t>
      </w:r>
    </w:p>
    <w:p>
      <w:pPr>
        <w:spacing w:after="0" w:line="241"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40"/>
          </w:cols>
          <w:pgMar w:left="320" w:top="1343" w:right="339"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71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71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5700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6"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wp:posOffset>
            </wp:positionV>
            <wp:extent cx="5700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692" w:lineRule="exact"/>
        <w:rPr>
          <w:sz w:val="20"/>
          <w:szCs w:val="20"/>
          <w:color w:val="auto"/>
        </w:rPr>
      </w:pPr>
    </w:p>
    <w:p>
      <w:pPr>
        <w:sectPr>
          <w:pgSz w:w="11900" w:h="16838" w:orient="portrait"/>
          <w:cols w:equalWidth="0" w:num="2">
            <w:col w:w="1960" w:space="320"/>
            <w:col w:w="8960"/>
          </w:cols>
          <w:pgMar w:left="320" w:top="1343" w:right="339" w:bottom="1440" w:gutter="0" w:footer="0" w:header="0"/>
          <w:type w:val="continuous"/>
        </w:sectPr>
      </w:pPr>
    </w:p>
    <w:p>
      <w:pPr>
        <w:spacing w:after="0" w:line="4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connection with the Acquisition, GHH, LLC agreed to pay additional contingent consideration if certain financial targets are achieved. The fair value of the contingent consideration liability was measured using a Monte Carlo simulation and is discounted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5" w:name="page16"/>
    <w:bookmarkEnd w:id="15"/>
    <w:p>
      <w:pPr>
        <w:ind w:right="20"/>
        <w:spacing w:after="0" w:line="253" w:lineRule="auto"/>
        <w:rPr>
          <w:sz w:val="20"/>
          <w:szCs w:val="20"/>
          <w:color w:val="auto"/>
        </w:rPr>
      </w:pPr>
      <w:r>
        <w:rPr>
          <w:rFonts w:ascii="Arial" w:cs="Arial" w:eastAsia="Arial" w:hAnsi="Arial"/>
          <w:sz w:val="16"/>
          <w:szCs w:val="16"/>
          <w:color w:val="auto"/>
        </w:rPr>
        <w:t>using a rate that appropriately captures the risk associated with the obligation. In connection with the IPO, a significant shareholder assumed the outstanding contingent consideration liability and the Company recorded the settlement of the $62.4 million liability as an increase to additional paid-in capital. The following table sets forth the changes to the fair value of the contingent consideration for the nine months ended September 30, 2020.</w:t>
      </w:r>
    </w:p>
    <w:p>
      <w:pPr>
        <w:sectPr>
          <w:pgSz w:w="11900" w:h="16838" w:orient="portrait"/>
          <w:cols w:equalWidth="0" w:num="1">
            <w:col w:w="11240"/>
          </w:cols>
          <w:pgMar w:left="320" w:top="1343" w:right="339" w:bottom="1440" w:gutter="0" w:footer="0" w:header="0"/>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Balance at Dec. 31, 2019</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2019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 earnout fair value adjustment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2020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Sep. 30, 2020</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604" w:hanging="604"/>
        <w:spacing w:after="0"/>
        <w:tabs>
          <w:tab w:leader="none" w:pos="604"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242,700</w:t>
      </w:r>
    </w:p>
    <w:p>
      <w:pPr>
        <w:spacing w:after="0" w:line="46" w:lineRule="exact"/>
        <w:rPr>
          <w:rFonts w:ascii="Arial" w:cs="Arial" w:eastAsia="Arial" w:hAnsi="Arial"/>
          <w:sz w:val="14"/>
          <w:szCs w:val="14"/>
          <w:b w:val="1"/>
          <w:bCs w:val="1"/>
          <w:color w:val="auto"/>
        </w:rPr>
      </w:pPr>
    </w:p>
    <w:p>
      <w:pPr>
        <w:ind w:left="544"/>
        <w:spacing w:after="0"/>
        <w:rPr>
          <w:rFonts w:ascii="Arial" w:cs="Arial" w:eastAsia="Arial" w:hAnsi="Arial"/>
          <w:sz w:val="14"/>
          <w:szCs w:val="14"/>
          <w:b w:val="1"/>
          <w:bCs w:val="1"/>
          <w:color w:val="auto"/>
        </w:rPr>
      </w:pPr>
      <w:r>
        <w:rPr>
          <w:rFonts w:ascii="Arial" w:cs="Arial" w:eastAsia="Arial" w:hAnsi="Arial"/>
          <w:sz w:val="14"/>
          <w:szCs w:val="14"/>
          <w:color w:val="auto"/>
        </w:rPr>
        <w:t>(200,000)</w:t>
      </w:r>
    </w:p>
    <w:p>
      <w:pPr>
        <w:spacing w:after="0" w:line="28" w:lineRule="exact"/>
        <w:rPr>
          <w:rFonts w:ascii="Arial" w:cs="Arial" w:eastAsia="Arial" w:hAnsi="Arial"/>
          <w:sz w:val="14"/>
          <w:szCs w:val="14"/>
          <w:b w:val="1"/>
          <w:bCs w:val="1"/>
          <w:color w:val="auto"/>
        </w:rPr>
      </w:pPr>
    </w:p>
    <w:p>
      <w:pPr>
        <w:ind w:left="684"/>
        <w:spacing w:after="0"/>
        <w:rPr>
          <w:rFonts w:ascii="Arial" w:cs="Arial" w:eastAsia="Arial" w:hAnsi="Arial"/>
          <w:sz w:val="14"/>
          <w:szCs w:val="14"/>
          <w:b w:val="1"/>
          <w:bCs w:val="1"/>
          <w:color w:val="auto"/>
        </w:rPr>
      </w:pPr>
      <w:r>
        <w:rPr>
          <w:rFonts w:ascii="Arial" w:cs="Arial" w:eastAsia="Arial" w:hAnsi="Arial"/>
          <w:sz w:val="14"/>
          <w:szCs w:val="14"/>
          <w:color w:val="auto"/>
        </w:rPr>
        <w:t>19,700</w:t>
      </w:r>
    </w:p>
    <w:p>
      <w:pPr>
        <w:spacing w:after="0" w:line="28" w:lineRule="exact"/>
        <w:rPr>
          <w:rFonts w:ascii="Arial" w:cs="Arial" w:eastAsia="Arial" w:hAnsi="Arial"/>
          <w:sz w:val="14"/>
          <w:szCs w:val="14"/>
          <w:b w:val="1"/>
          <w:bCs w:val="1"/>
          <w:color w:val="auto"/>
        </w:rPr>
      </w:pPr>
    </w:p>
    <w:p>
      <w:pPr>
        <w:ind w:left="624"/>
        <w:spacing w:after="0"/>
        <w:rPr>
          <w:rFonts w:ascii="Arial" w:cs="Arial" w:eastAsia="Arial" w:hAnsi="Arial"/>
          <w:sz w:val="14"/>
          <w:szCs w:val="14"/>
          <w:b w:val="1"/>
          <w:bCs w:val="1"/>
          <w:color w:val="auto"/>
        </w:rPr>
      </w:pPr>
      <w:r>
        <w:rPr>
          <w:rFonts w:ascii="Arial" w:cs="Arial" w:eastAsia="Arial" w:hAnsi="Arial"/>
          <w:sz w:val="14"/>
          <w:szCs w:val="14"/>
          <w:color w:val="auto"/>
        </w:rPr>
        <w:t>(62,400)</w:t>
      </w:r>
    </w:p>
    <w:p>
      <w:pPr>
        <w:spacing w:after="0" w:line="24" w:lineRule="exact"/>
        <w:rPr>
          <w:sz w:val="20"/>
          <w:szCs w:val="20"/>
          <w:color w:val="auto"/>
        </w:rPr>
      </w:pPr>
    </w:p>
    <w:p>
      <w:pPr>
        <w:ind w:left="964" w:hanging="964"/>
        <w:spacing w:after="0"/>
        <w:tabs>
          <w:tab w:leader="none" w:pos="96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763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336" w:space="720"/>
            <w:col w:w="1184"/>
          </w:cols>
          <w:pgMar w:left="320" w:top="1343" w:right="339" w:bottom="1440" w:gutter="0" w:footer="0" w:header="0"/>
          <w:type w:val="continuous"/>
        </w:sectPr>
      </w:pPr>
    </w:p>
    <w:p>
      <w:pPr>
        <w:spacing w:after="0" w:line="16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372" w:lineRule="exact"/>
        <w:rPr>
          <w:sz w:val="20"/>
          <w:szCs w:val="20"/>
          <w:color w:val="auto"/>
        </w:rPr>
      </w:pPr>
    </w:p>
    <w:p>
      <w:pPr>
        <w:ind w:right="7640" w:firstLine="8"/>
        <w:spacing w:after="0" w:line="541" w:lineRule="auto"/>
        <w:tabs>
          <w:tab w:leader="none" w:pos="180" w:val="left"/>
        </w:tabs>
        <w:numPr>
          <w:ilvl w:val="0"/>
          <w:numId w:val="13"/>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GOODWILL AND INTANGIBLE ASSETS, NET </w:t>
      </w:r>
      <w:r>
        <w:rPr>
          <w:rFonts w:ascii="Arial" w:cs="Arial" w:eastAsia="Arial" w:hAnsi="Arial"/>
          <w:sz w:val="16"/>
          <w:szCs w:val="16"/>
          <w:b w:val="1"/>
          <w:bCs w:val="1"/>
          <w:color w:val="000000"/>
        </w:rPr>
        <w:t>Goodwill</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During 2019, the Company allocated $380.3 million and $6.2 million of the goodwill recognized in connection with the Acquisition to its Medicare—Internal segment and Medicare—External segment, respectively, based on an estimate of the relative fair value of each reportable segment.</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 tests goodwill for impairment at the reporting unit level annually on November 30th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goodwill for the three and nine months ended September 30, 2021 and 2020.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 30, 2021</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145,257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350,743</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184,440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192,817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535,183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618,183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Dec. 31, 2020</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75"/>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403,886</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201,840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122,274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688,726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of intangible assets for the three and nine months ended September 30, 2021 and 2020.</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As of September 30, 2021, expected amortization expense related to intangible assets for each of the five succeeding years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100" w:type="dxa"/>
            <w:vAlign w:val="bottom"/>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85,840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135,441</w:t>
            </w:r>
          </w:p>
        </w:tc>
        <w:tc>
          <w:tcPr>
            <w:tcW w:w="0" w:type="dxa"/>
            <w:vAlign w:val="bottom"/>
          </w:tcPr>
          <w:p>
            <w:pPr>
              <w:spacing w:after="0"/>
              <w:rPr>
                <w:sz w:val="1"/>
                <w:szCs w:val="1"/>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350,743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184,440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535,183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4. LONG-TERM DEBT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 30, 2021</w:t>
            </w: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2020</w:t>
            </w:r>
          </w:p>
        </w:tc>
      </w:tr>
      <w:tr>
        <w:trPr>
          <w:trHeight w:val="18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424,470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412,373</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Revolving Credit Facilities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(11,803)</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443,486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400,570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(4,170)</w:t>
            </w:r>
          </w:p>
        </w:tc>
      </w:tr>
      <w:tr>
        <w:trPr>
          <w:trHeight w:val="183"/>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Total long-term debt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439,216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396,400</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Facilities</w:t>
      </w:r>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creates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and the 2021 Incremental Term Loans as the “Term Loan Facilities”.</w:t>
      </w:r>
    </w:p>
    <w:p>
      <w:pPr>
        <w:spacing w:after="0" w:line="19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of September 30, 2021, the Company had a principal amount of $115.2 million and $309.2 million outstanding under the Incremental Term Loan Facility and the 2021 Incremental Term Loans, respectively. As of December 31, 2020, the Company had a principal amount of $296.3 million and $116.1 million outstanding under the Initial Term Loan Facility and Incremental Term Loan Facility, respectively. The Incremental Term Loan Facility effective interest rate was 7.5% at both September 30, 2021 and December 31, 2020. The 2021 Incremental Term Loans effective interest rate was 5.0% at September 30, 2021. The Initial Term Loan Facility effective interest rate was 7.5% at December 31, 2020.</w:t>
      </w:r>
    </w:p>
    <w:p>
      <w:pPr>
        <w:spacing w:after="0" w:line="20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Borrowings under the Incremental Term Loan Facility are, at the option of the Borrower, either (i) alternate base rate (“ABR”) plus 5.50% per annum or (ii) LIBOR plus 6.50% per annum. The 2021 Incremental Term Loans bear interest at either (i) ABR plus 3.00% per annum or (ii) LIBOR plus 4.00% per annum.</w:t>
      </w:r>
    </w:p>
    <w:p>
      <w:pPr>
        <w:spacing w:after="0" w:line="195"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7" w:name="page18"/>
    <w:bookmarkEnd w:id="17"/>
    <w:p>
      <w:pPr>
        <w:ind w:right="60"/>
        <w:spacing w:after="0" w:line="253"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9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19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20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Company had $25.0 million outstanding under the Revolving Credit Facilities as of September 30, 2021 and no amounts outstanding as of December 31, 2020. The Revolving Credit Facilities have a remaining capacity of $175.0 million in the aggregate as of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the Revolving Credit Facilities do not amortize and are due and payable on September 13, 2024.</w:t>
      </w: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STOCKHOLDERS' EQUITY AND MEMBERS' EQUITY</w:t>
      </w:r>
    </w:p>
    <w:p>
      <w:pPr>
        <w:spacing w:after="0" w:line="2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20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GoHealth Holdings, LLC to redeem all or a portion of their LLC Interests in exchange for, at the Company’s election (determined by at least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8" w:name="page19"/>
    <w:bookmarkEnd w:id="18"/>
    <w:p>
      <w:pPr>
        <w:jc w:val="both"/>
        <w:ind w:right="80"/>
        <w:spacing w:after="0" w:line="253" w:lineRule="auto"/>
        <w:rPr>
          <w:sz w:val="20"/>
          <w:szCs w:val="20"/>
          <w:color w:val="auto"/>
        </w:rPr>
      </w:pPr>
      <w:r>
        <w:rPr>
          <w:rFonts w:ascii="Arial" w:cs="Arial" w:eastAsia="Arial" w:hAnsi="Arial"/>
          <w:sz w:val="16"/>
          <w:szCs w:val="16"/>
          <w:color w:val="auto"/>
        </w:rPr>
        <w:t>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20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nine months ended September 30, 2021 was 64.5% and 67.9%, respectively, and 73.8% for both the three and nine months ended September 30, 2020. The non-controlling interest holders' weighted average ownership percentages for the three and nine months ended September 30, 2020 is the same as both periods are based on the post-IPO net loss from July 17, 2020 to September 30, 2020.</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6. SHARE-BASED COMPENSATION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 30,</w:t>
            </w:r>
          </w:p>
        </w:tc>
        <w:tc>
          <w:tcPr>
            <w:tcW w:w="220" w:type="dxa"/>
            <w:vAlign w:val="bottom"/>
          </w:tcPr>
          <w:p>
            <w:pPr>
              <w:spacing w:after="0"/>
              <w:rPr>
                <w:sz w:val="16"/>
                <w:szCs w:val="16"/>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83"/>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24,829</w:t>
            </w: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11,993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12,050</w:t>
            </w:r>
          </w:p>
        </w:tc>
      </w:tr>
      <w:tr>
        <w:trPr>
          <w:trHeight w:val="189"/>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32,748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32,907</w:t>
            </w:r>
          </w:p>
        </w:tc>
      </w:tr>
      <w:tr>
        <w:trPr>
          <w:trHeight w:val="18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142,620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143,360</w:t>
            </w:r>
          </w:p>
        </w:tc>
      </w:tr>
      <w:tr>
        <w:trPr>
          <w:trHeight w:val="20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212,070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213,146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Stock Units (“PSUs”)</w:t>
      </w:r>
    </w:p>
    <w:p>
      <w:pPr>
        <w:spacing w:after="0" w:line="24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During the nine months ended September 30, 2021, the Company granted to certain of its employees 489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$22.17. The Company recognizes the grant date fair value of PSUs as compensation expense on a straight-line basis over the three-year performance period. For the three and nine months ended September 30, 2021, the Company recorded share-based compensation expense related to PSUs of $0.8 million and $2.2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Employee Stock Purchase Plan (“2020 ESPP”)</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July 7, 2020, the Company adopted the 2020 ESPP. The first offering period of the 2020 ESPP commenced on January 1, 2021 and expired on June 30, 2021. The current offering period of the 2020 ESPP commenced on July 1, 2021, and will expire on December 31, 2021. The purpose of the 2020 ESPP is to provide the Company's eligible employees with an opportunity to purchase designated shares of the Company’s Class A common stock at a price equal to 85% of the lower of the closing price at the beginning or end of each offering period. During the nine months ended September 30, 2021, the Company issued 50 shares through the ESPP. For the three and nine months ended September 30, 2021, the Company recorded share-based compensation expense related to the 2020 ESPP of $0.1 million and $0.3 million, respectively.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16</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00497F"/>
        </w:rPr>
        <w:t>7. NET LOSS PER SHARE</w:t>
      </w:r>
    </w:p>
    <w:p>
      <w:pPr>
        <w:spacing w:after="0" w:line="24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201"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Condensed Consolidated Financial Statements. Therefore, earnings per share information has not been presented for periods prior to the IPO on July 17, 2020. For the three and nine months ended September 30, 2020, the basic and diluted earnings per share represent only the period from July 17, 2020 to September 30, 2020.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 30,</w:t>
            </w:r>
          </w:p>
        </w:tc>
        <w:tc>
          <w:tcPr>
            <w:tcW w:w="220" w:type="dxa"/>
            <w:vAlign w:val="bottom"/>
          </w:tcPr>
          <w:p>
            <w:pPr>
              <w:spacing w:after="0"/>
              <w:rPr>
                <w:sz w:val="16"/>
                <w:szCs w:val="16"/>
                <w:color w:val="auto"/>
              </w:rPr>
            </w:pPr>
          </w:p>
        </w:tc>
        <w:tc>
          <w:tcPr>
            <w:tcW w:w="24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69"/>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(55,431)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(206,496)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(101,874)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(230,299)</w:t>
            </w: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GoHealth, Inc. prior to the IPO</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(25,465)</w:t>
            </w:r>
          </w:p>
        </w:tc>
      </w:tr>
      <w:tr>
        <w:trPr>
          <w:trHeight w:val="189"/>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Net loss attributable to non-controlling interests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(150,076)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(150,076)</w:t>
            </w:r>
          </w:p>
        </w:tc>
      </w:tr>
      <w:tr>
        <w:trPr>
          <w:trHeight w:val="18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GoHealth, Inc.</w:t>
            </w: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(54,758)</w:t>
            </w: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Denominator:</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5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Weighted-average shares of Class A common stock outstanding—basic</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84,183</w:t>
            </w:r>
          </w:p>
        </w:tc>
      </w:tr>
      <w:tr>
        <w:trPr>
          <w:trHeight w:val="189"/>
        </w:trPr>
        <w:tc>
          <w:tcPr>
            <w:tcW w:w="5820" w:type="dxa"/>
            <w:vAlign w:val="bottom"/>
          </w:tcPr>
          <w:p>
            <w:pPr>
              <w:ind w:left="240"/>
              <w:spacing w:after="0"/>
              <w:rPr>
                <w:sz w:val="20"/>
                <w:szCs w:val="20"/>
                <w:color w:val="auto"/>
              </w:rPr>
            </w:pPr>
            <w:r>
              <w:rPr>
                <w:rFonts w:ascii="Arial" w:cs="Arial" w:eastAsia="Arial" w:hAnsi="Arial"/>
                <w:sz w:val="14"/>
                <w:szCs w:val="14"/>
                <w:color w:val="auto"/>
              </w:rPr>
              <w:t>Effect of dilutive securities</w:t>
            </w: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8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Weighted-average shares of Class A common stock outstanding—diluted</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113,938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84,183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102,939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84,183</w:t>
            </w: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(0.33)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r>
      <w:tr>
        <w:trPr>
          <w:trHeight w:val="21"/>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number of shares were excluded from the calculation of diluted loss per share because the effect of including such potentially dilutive shares would have been antidilutive: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836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issuable pursuant to equity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6,393</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Class B common stock</w:t>
            </w:r>
          </w:p>
        </w:tc>
        <w:tc>
          <w:tcPr>
            <w:tcW w:w="1380" w:type="dxa"/>
            <w:vAlign w:val="bottom"/>
          </w:tcPr>
          <w:p>
            <w:pPr>
              <w:jc w:val="right"/>
              <w:spacing w:after="0"/>
              <w:rPr>
                <w:sz w:val="20"/>
                <w:szCs w:val="20"/>
                <w:color w:val="auto"/>
              </w:rPr>
            </w:pPr>
            <w:r>
              <w:rPr>
                <w:rFonts w:ascii="Arial" w:cs="Arial" w:eastAsia="Arial" w:hAnsi="Arial"/>
                <w:sz w:val="14"/>
                <w:szCs w:val="14"/>
                <w:color w:val="auto"/>
              </w:rPr>
              <w:t>205,995</w:t>
            </w:r>
          </w:p>
        </w:tc>
        <w:tc>
          <w:tcPr>
            <w:tcW w:w="1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236,997</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periods prior to the Transactions and the IPO, the reported income taxes represent those of GHH, LLC. As a result of the Transactions and the IPO, the Company became subject to U.S. federal and certain state and local income taxes with respect to 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Transactions and the IPO will be realized.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00497F"/>
        </w:rPr>
        <w:t>8. INCOME TAXES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 For periods prior to the IPO, the Company’s taxes represent those of GHH, LLC.</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Company’s effective tax rate for both the three and nine months ended September 30, 2021 was 0.14%. The Company’s effective tax rate for the three and nine months ended September 30, 2020 was (0.03)% and (0.02)%,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 (“TRA”)</w:t>
      </w:r>
    </w:p>
    <w:p>
      <w:pPr>
        <w:spacing w:after="0" w:line="24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connection with the IPO, the Company entered into a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TRA will vary depending upon a number of factors, including the amount, character, and timing of the taxable income of the Company in the future. As of September 30, 2021, the Company has determined there is no resulting liability related to the TRA arising from the Transactions and IPO. Should the Company determine that the TRA liability will be considered probable at a future date based on new information, any changes will be recorded within income from continuing operations at that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for Variable Consideration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spacing w:after="0" w:line="20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As a result of this analysis, for the three and nine months ended September 30, 2021, the Company recorded negative revenue adjustments of $6.7 million and $10.3 million, respectively, for changes in estimates relating to performance obligations satisfied in prior periods. For the three and nine months ended September 30, 2020, there were no revenue adjustments relating to performance obligations satisfied in prior periods.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Disaggregation of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by product, and is consistent with how the Company evaluates its financial performance: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 30,</w:t>
            </w:r>
          </w:p>
        </w:tc>
        <w:tc>
          <w:tcPr>
            <w:tcW w:w="220" w:type="dxa"/>
            <w:vAlign w:val="bottom"/>
          </w:tcPr>
          <w:p>
            <w:pPr>
              <w:spacing w:after="0"/>
              <w:rPr>
                <w:sz w:val="16"/>
                <w:szCs w:val="16"/>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6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Commission revenue:</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0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Medicare Advantage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282,251</w:t>
            </w:r>
          </w:p>
        </w:tc>
      </w:tr>
      <w:tr>
        <w:trPr>
          <w:trHeight w:val="189"/>
        </w:trPr>
        <w:tc>
          <w:tcPr>
            <w:tcW w:w="5900" w:type="dxa"/>
            <w:vAlign w:val="bottom"/>
          </w:tcPr>
          <w:p>
            <w:pPr>
              <w:ind w:left="460"/>
              <w:spacing w:after="0"/>
              <w:rPr>
                <w:sz w:val="20"/>
                <w:szCs w:val="20"/>
                <w:color w:val="auto"/>
              </w:rPr>
            </w:pPr>
            <w:r>
              <w:rPr>
                <w:rFonts w:ascii="Arial" w:cs="Arial" w:eastAsia="Arial" w:hAnsi="Arial"/>
                <w:sz w:val="14"/>
                <w:szCs w:val="14"/>
                <w:color w:val="auto"/>
              </w:rPr>
              <w:t>Medicare Supplement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5,237</w:t>
            </w:r>
          </w:p>
        </w:tc>
      </w:tr>
      <w:tr>
        <w:trPr>
          <w:trHeight w:val="189"/>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Prescription Drug Plans</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8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173,135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487,936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288,897</w:t>
            </w:r>
          </w:p>
        </w:tc>
      </w:tr>
      <w:tr>
        <w:trPr>
          <w:trHeight w:val="169"/>
        </w:trPr>
        <w:tc>
          <w:tcPr>
            <w:tcW w:w="590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Individual and Family Plan:</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00" w:type="dxa"/>
            <w:vAlign w:val="bottom"/>
          </w:tcPr>
          <w:p>
            <w:pPr>
              <w:ind w:left="460"/>
              <w:spacing w:after="0"/>
              <w:rPr>
                <w:sz w:val="20"/>
                <w:szCs w:val="20"/>
                <w:color w:val="auto"/>
              </w:rPr>
            </w:pPr>
            <w:r>
              <w:rPr>
                <w:rFonts w:ascii="Arial" w:cs="Arial" w:eastAsia="Arial" w:hAnsi="Arial"/>
                <w:sz w:val="14"/>
                <w:szCs w:val="14"/>
                <w:color w:val="auto"/>
              </w:rPr>
              <w:t>Fixed Indemnity</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13,296</w:t>
            </w:r>
          </w:p>
        </w:tc>
      </w:tr>
      <w:tr>
        <w:trPr>
          <w:trHeight w:val="189"/>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Short-term</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w:t>
            </w:r>
          </w:p>
        </w:tc>
      </w:tr>
      <w:tr>
        <w:trPr>
          <w:trHeight w:val="189"/>
        </w:trPr>
        <w:tc>
          <w:tcPr>
            <w:tcW w:w="59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Major Medical</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r>
      <w:tr>
        <w:trPr>
          <w:trHeight w:val="183"/>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Individual and Family Plan</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17,891</w:t>
            </w:r>
          </w:p>
        </w:tc>
      </w:tr>
      <w:tr>
        <w:trPr>
          <w:trHeight w:val="182"/>
        </w:trPr>
        <w:tc>
          <w:tcPr>
            <w:tcW w:w="5900" w:type="dxa"/>
            <w:vAlign w:val="bottom"/>
          </w:tcPr>
          <w:p>
            <w:pPr>
              <w:ind w:left="20"/>
              <w:spacing w:after="0"/>
              <w:rPr>
                <w:sz w:val="20"/>
                <w:szCs w:val="20"/>
                <w:color w:val="auto"/>
              </w:rPr>
            </w:pPr>
            <w:r>
              <w:rPr>
                <w:rFonts w:ascii="Arial" w:cs="Arial" w:eastAsia="Arial" w:hAnsi="Arial"/>
                <w:sz w:val="14"/>
                <w:szCs w:val="14"/>
                <w:color w:val="auto"/>
              </w:rPr>
              <w:t>Ancillary</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2,977</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Group</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r>
      <w:tr>
        <w:trPr>
          <w:trHeight w:val="18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commission revenue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174,948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496,437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310,506</w:t>
            </w:r>
          </w:p>
        </w:tc>
      </w:tr>
      <w:tr>
        <w:trPr>
          <w:trHeight w:val="16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Enterprise revenue:</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00" w:type="dxa"/>
            <w:vAlign w:val="bottom"/>
          </w:tcPr>
          <w:p>
            <w:pPr>
              <w:ind w:left="240"/>
              <w:spacing w:after="0"/>
              <w:rPr>
                <w:sz w:val="20"/>
                <w:szCs w:val="20"/>
                <w:color w:val="auto"/>
              </w:rPr>
            </w:pPr>
            <w:r>
              <w:rPr>
                <w:rFonts w:ascii="Arial" w:cs="Arial" w:eastAsia="Arial" w:hAnsi="Arial"/>
                <w:sz w:val="14"/>
                <w:szCs w:val="14"/>
                <w:color w:val="auto"/>
              </w:rPr>
              <w:t>Partner Marketing and Enrollment Services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52,879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91,248</w:t>
            </w:r>
          </w:p>
        </w:tc>
      </w:tr>
      <w:tr>
        <w:trPr>
          <w:trHeight w:val="189"/>
        </w:trPr>
        <w:tc>
          <w:tcPr>
            <w:tcW w:w="5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Direct Partner Campaigns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19,791</w:t>
            </w:r>
          </w:p>
        </w:tc>
      </w:tr>
      <w:tr>
        <w:trPr>
          <w:trHeight w:val="189"/>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9,882</w:t>
            </w:r>
          </w:p>
        </w:tc>
      </w:tr>
      <w:tr>
        <w:trPr>
          <w:trHeight w:val="183"/>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enterprise revenue</w:t>
            </w: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36,786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61,970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116,378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120,921</w:t>
            </w:r>
          </w:p>
        </w:tc>
      </w:tr>
      <w:tr>
        <w:trPr>
          <w:trHeight w:val="183"/>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211,734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163,360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612,815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431,427</w:t>
            </w:r>
          </w:p>
        </w:tc>
      </w:tr>
      <w:tr>
        <w:trPr>
          <w:trHeight w:val="21"/>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 Company had unbilled receivables for performance-based enrollment fees as of September 30, 2021 and December 31, 2020 of $3.1 million and $12.9 million, respectively, which were reclassified to prepaid expenses and other current assets from accounts receivable, net on the Condensed Consolidated Balance Sheets. The reclassification was based on the Company’s conditional rights to receive consideration based on the services transferred to the customer. Prior period amounts have been reclassified to match the current period presentation. There are no other contract liabilities or contract assets recorded by the Company.</w:t>
      </w:r>
    </w:p>
    <w:p>
      <w:pPr>
        <w:spacing w:after="0" w:line="20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For the three and nine months ended September 30, 2021, the Company recognized $26 thousand and $0.2 million of revenue that was deferred as of December 31, 2020,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520" w:type="dxa"/>
            <w:vAlign w:val="bottom"/>
          </w:tcPr>
          <w:p>
            <w:pPr>
              <w:jc w:val="center"/>
              <w:ind w:right="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96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Sep. 30, 2021</w:t>
            </w:r>
          </w:p>
        </w:tc>
        <w:tc>
          <w:tcPr>
            <w:tcW w:w="0" w:type="dxa"/>
            <w:vAlign w:val="bottom"/>
          </w:tcPr>
          <w:p>
            <w:pPr>
              <w:spacing w:after="0"/>
              <w:rPr>
                <w:sz w:val="1"/>
                <w:szCs w:val="1"/>
                <w:color w:val="auto"/>
              </w:rPr>
            </w:pPr>
          </w:p>
        </w:tc>
      </w:tr>
      <w:tr>
        <w:trPr>
          <w:trHeight w:val="18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center"/>
              <w:ind w:left="808"/>
              <w:spacing w:after="0"/>
              <w:rPr>
                <w:sz w:val="20"/>
                <w:szCs w:val="20"/>
                <w:color w:val="auto"/>
              </w:rPr>
            </w:pPr>
            <w:r>
              <w:rPr>
                <w:rFonts w:ascii="Arial" w:cs="Arial" w:eastAsia="Arial" w:hAnsi="Arial"/>
                <w:sz w:val="14"/>
                <w:szCs w:val="14"/>
                <w:color w:val="auto"/>
              </w:rPr>
              <w:t>810,398</w:t>
            </w:r>
          </w:p>
        </w:tc>
        <w:tc>
          <w:tcPr>
            <w:tcW w:w="0" w:type="dxa"/>
            <w:vAlign w:val="bottom"/>
          </w:tcPr>
          <w:p>
            <w:pPr>
              <w:spacing w:after="0"/>
              <w:rPr>
                <w:sz w:val="1"/>
                <w:szCs w:val="1"/>
                <w:color w:val="auto"/>
              </w:rPr>
            </w:pPr>
          </w:p>
        </w:tc>
      </w:tr>
      <w:tr>
        <w:trPr>
          <w:trHeight w:val="189"/>
        </w:trPr>
        <w:tc>
          <w:tcPr>
            <w:tcW w:w="9600" w:type="dxa"/>
            <w:vAlign w:val="bottom"/>
          </w:tcPr>
          <w:p>
            <w:pPr>
              <w:ind w:left="20"/>
              <w:spacing w:after="0"/>
              <w:rPr>
                <w:sz w:val="20"/>
                <w:szCs w:val="20"/>
                <w:color w:val="auto"/>
              </w:rPr>
            </w:pPr>
            <w:r>
              <w:rPr>
                <w:rFonts w:ascii="Arial" w:cs="Arial" w:eastAsia="Arial" w:hAnsi="Arial"/>
                <w:sz w:val="14"/>
                <w:szCs w:val="14"/>
                <w:color w:val="auto"/>
              </w:rPr>
              <w:t>Commission revenue (1)</w:t>
            </w:r>
          </w:p>
        </w:tc>
        <w:tc>
          <w:tcPr>
            <w:tcW w:w="120" w:type="dxa"/>
            <w:vAlign w:val="bottom"/>
          </w:tcPr>
          <w:p>
            <w:pPr>
              <w:spacing w:after="0"/>
              <w:rPr>
                <w:sz w:val="16"/>
                <w:szCs w:val="16"/>
                <w:color w:val="auto"/>
              </w:rPr>
            </w:pPr>
          </w:p>
        </w:tc>
        <w:tc>
          <w:tcPr>
            <w:tcW w:w="1520" w:type="dxa"/>
            <w:vAlign w:val="bottom"/>
          </w:tcPr>
          <w:p>
            <w:pPr>
              <w:jc w:val="center"/>
              <w:ind w:left="808"/>
              <w:spacing w:after="0"/>
              <w:rPr>
                <w:sz w:val="20"/>
                <w:szCs w:val="20"/>
                <w:color w:val="auto"/>
              </w:rPr>
            </w:pPr>
            <w:r>
              <w:rPr>
                <w:rFonts w:ascii="Arial" w:cs="Arial" w:eastAsia="Arial" w:hAnsi="Arial"/>
                <w:sz w:val="14"/>
                <w:szCs w:val="14"/>
                <w:color w:val="auto"/>
              </w:rPr>
              <w:t>496,437</w:t>
            </w:r>
          </w:p>
        </w:tc>
        <w:tc>
          <w:tcPr>
            <w:tcW w:w="0" w:type="dxa"/>
            <w:vAlign w:val="bottom"/>
          </w:tcPr>
          <w:p>
            <w:pPr>
              <w:spacing w:after="0"/>
              <w:rPr>
                <w:sz w:val="1"/>
                <w:szCs w:val="1"/>
                <w:color w:val="auto"/>
              </w:rPr>
            </w:pPr>
          </w:p>
        </w:tc>
      </w:tr>
      <w:tr>
        <w:trPr>
          <w:trHeight w:val="189"/>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center"/>
              <w:ind w:left="788"/>
              <w:spacing w:after="0"/>
              <w:rPr>
                <w:sz w:val="20"/>
                <w:szCs w:val="20"/>
                <w:color w:val="auto"/>
              </w:rPr>
            </w:pPr>
            <w:r>
              <w:rPr>
                <w:rFonts w:ascii="Arial" w:cs="Arial" w:eastAsia="Arial" w:hAnsi="Arial"/>
                <w:sz w:val="14"/>
                <w:szCs w:val="14"/>
                <w:color w:val="auto"/>
              </w:rPr>
              <w:t>(335,455)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971,380</w:t>
            </w:r>
          </w:p>
        </w:tc>
      </w:tr>
      <w:tr>
        <w:trPr>
          <w:trHeight w:val="18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Commissions receivable - current</w:t>
            </w:r>
          </w:p>
        </w:tc>
        <w:tc>
          <w:tcPr>
            <w:tcW w:w="5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133,422</w:t>
            </w:r>
          </w:p>
        </w:tc>
      </w:tr>
      <w:tr>
        <w:trPr>
          <w:trHeight w:val="183"/>
        </w:trPr>
        <w:tc>
          <w:tcPr>
            <w:tcW w:w="960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837,958</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right="120" w:hanging="332"/>
        <w:spacing w:after="0" w:line="279" w:lineRule="auto"/>
        <w:tabs>
          <w:tab w:leader="none" w:pos="32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Commission revenue for the nine months ended September 30, 2021, is presented net of a negative revenue adjustment of $10.3 million for changes in estimates relating to performance obligations satisfied in prior periods.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2" w:name="page23"/>
    <w:bookmarkEnd w:id="22"/>
    <w:p>
      <w:pPr>
        <w:ind w:right="7940" w:firstLine="8"/>
        <w:spacing w:after="0" w:line="541" w:lineRule="auto"/>
        <w:tabs>
          <w:tab w:leader="none" w:pos="270" w:val="left"/>
        </w:tabs>
        <w:numPr>
          <w:ilvl w:val="0"/>
          <w:numId w:val="15"/>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COMMITMENTS AND CONTINGENCIES </w:t>
      </w:r>
      <w:r>
        <w:rPr>
          <w:rFonts w:ascii="Arial" w:cs="Arial" w:eastAsia="Arial" w:hAnsi="Arial"/>
          <w:sz w:val="16"/>
          <w:szCs w:val="16"/>
          <w:b w:val="1"/>
          <w:bCs w:val="1"/>
          <w:color w:val="000000"/>
        </w:rPr>
        <w:t>Leases</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Company is party to various non-cancelable operating lease agreements for certain of the Company’s offices and data centers with lease periods expiring in 2032. Certain of these arrangements have free rent periods or escalating rent payment provisions, and the Company recognizes rent expense under such arrangements on a straight-line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violations of the Securities Act of 1933. On December 10, 2020, the court in the earliest filed action consolidated the three complaints, appointed lead plaintiffs and lead counsel for the consolidated action, and captioned the consolidated action In re GoHealth, Inc. Securities Litigation. Lead plaintiffs filed a consolidated complaint on February 25, 2021. Defendants filed responsive pleadings on April 26, 2021 to dismiss the complaint. On June 14, 2021, the plaintiffs filed an opposition brief, to which the defendants replied on July 6, 2021. On May 19, 2021, a derivative action against certain of the Company’s officers and directors was filed, alleging substantially the same allegations as the In re GoHealth, Inc. Securities Litigation. By suggestion of the plaintiff’s counsel, this lawsuit is stayed until at least as long as the motion to dismiss in the In re GoHealth, Inc. Securities Litigation is pending. The Company disputes each and every of plaintiffs’ claims and intends to defend these matters vigorously.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11. RELATED PARTY TRANSACTIONS</w:t>
      </w:r>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and nine months ended September 30, 2021 and 2020, the Company made aggregate lease payments of $0.3 million, $1.0 million, $0.3 million and $1.0 million, respectively, under these leases.</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certain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nine months ended September 30, 2021 and 2020, the Company recorded expense of $0.3 million, $0.7 million, $0.3 million and $1.1 million, respectively, under this lease.</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May 12, 2020, the Company entered into a lease agreement with Wilson Tech 5, which is controlled by significant shareholders, for a proposed site in Lindon, Utah, beginning in 2022. The Company will not have access to the leased premises until construction is complete (“commencement date”) and is not deemed to be the owner during the construction period. This lease agreement expires ten years after the commencement date. The Company did not make any lease payments during the three and nine months ended September 30, 2021 and 2020 under this lease. The initial base annual rent will be approximately $4.6 million beginning in mid-2022.</w:t>
      </w:r>
    </w:p>
    <w:p>
      <w:pPr>
        <w:spacing w:after="0" w:line="20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During the twelve months ended December 31, 2020, the Company provided a short-term advancement to NVX Holdings, Inc., which is controlled by significant shareholders, for which the Company recorded a receivable of $3.4 million. The advancement was collected by the Company during the three months ended March 31, 2021.</w:t>
      </w:r>
    </w:p>
    <w:p>
      <w:pPr>
        <w:spacing w:after="0" w:line="181" w:lineRule="exact"/>
        <w:rPr>
          <w:sz w:val="20"/>
          <w:szCs w:val="20"/>
          <w:color w:val="auto"/>
        </w:rPr>
      </w:pPr>
    </w:p>
    <w:p>
      <w:pPr>
        <w:ind w:right="6500" w:firstLine="8"/>
        <w:spacing w:after="0" w:line="541" w:lineRule="auto"/>
        <w:tabs>
          <w:tab w:leader="none" w:pos="270" w:val="left"/>
        </w:tabs>
        <w:numPr>
          <w:ilvl w:val="0"/>
          <w:numId w:val="16"/>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OPERATING SEGMENTS AND SIGNIFICANT CUSTOMERS </w:t>
      </w:r>
      <w:r>
        <w:rPr>
          <w:rFonts w:ascii="Arial" w:cs="Arial" w:eastAsia="Arial" w:hAnsi="Arial"/>
          <w:sz w:val="16"/>
          <w:szCs w:val="16"/>
          <w:b w:val="1"/>
          <w:bCs w:val="1"/>
          <w:color w:val="000000"/>
        </w:rPr>
        <w:t>Operating Segments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Company’s business structure is comprised of four operating and reportable segments:</w:t>
      </w:r>
    </w:p>
    <w:p>
      <w:pPr>
        <w:spacing w:after="0" w:line="18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auto"/>
        </w:rPr>
        <w:t xml:space="preserve">Medicare Internal and External: </w:t>
      </w:r>
      <w:r>
        <w:rPr>
          <w:rFonts w:ascii="Arial" w:cs="Arial" w:eastAsia="Arial" w:hAnsi="Arial"/>
          <w:sz w:val="16"/>
          <w:szCs w:val="16"/>
          <w:color w:val="auto"/>
        </w:rPr>
        <w:t>The Medicare internal and external segments consist primarily of revenues earned from sales of Medicare Advantage,</w:t>
      </w:r>
      <w:r>
        <w:rPr>
          <w:rFonts w:ascii="Arial" w:cs="Arial" w:eastAsia="Arial" w:hAnsi="Arial"/>
          <w:sz w:val="16"/>
          <w:szCs w:val="16"/>
          <w:b w:val="1"/>
          <w:bCs w:val="1"/>
          <w:color w:val="auto"/>
        </w:rPr>
        <w:t xml:space="preserve"> </w:t>
      </w:r>
      <w:r>
        <w:rPr>
          <w:rFonts w:ascii="Arial" w:cs="Arial" w:eastAsia="Arial" w:hAnsi="Arial"/>
          <w:sz w:val="16"/>
          <w:szCs w:val="16"/>
          <w:color w:val="auto"/>
        </w:rPr>
        <w:t>Medicare Supplement, Prescription Drug Plans, and Medicare Special Needs Plans (or “SNPs”), for multiple carriers.</w:t>
      </w:r>
    </w:p>
    <w:p>
      <w:pPr>
        <w:spacing w:after="0" w:line="156"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b w:val="1"/>
          <w:bCs w:val="1"/>
          <w:color w:val="auto"/>
        </w:rPr>
        <w:t xml:space="preserve">Individual and Family Plan and Other (“IFP and Other”) Internal and External: </w:t>
      </w:r>
      <w:r>
        <w:rPr>
          <w:rFonts w:ascii="Arial" w:cs="Arial" w:eastAsia="Arial" w:hAnsi="Arial"/>
          <w:sz w:val="16"/>
          <w:szCs w:val="16"/>
          <w:color w:val="auto"/>
        </w:rPr>
        <w:t>The IFP and Other internal and external segments consist primarily of</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earned from sales of individual and family plans, dental plans, vision plans and other ancillary plans to individuals that are not Medicare-eligible.</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Internal and External segments relative to both Medicare and IFP are defined as follows:</w:t>
      </w:r>
    </w:p>
    <w:p>
      <w:pPr>
        <w:spacing w:after="0" w:line="20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b w:val="1"/>
          <w:bCs w:val="1"/>
          <w:color w:val="auto"/>
        </w:rPr>
        <w:t xml:space="preserve">Internal: </w:t>
      </w:r>
      <w:r>
        <w:rPr>
          <w:rFonts w:ascii="Arial" w:cs="Arial" w:eastAsia="Arial" w:hAnsi="Arial"/>
          <w:sz w:val="16"/>
          <w:szCs w:val="16"/>
          <w:color w:val="auto"/>
        </w:rPr>
        <w:t>The two internal segments primarily consist of sales of products and plans by Company-employed agents offering qualified prospects plans from</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37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External: </w:t>
      </w:r>
      <w:r>
        <w:rPr>
          <w:rFonts w:ascii="Arial" w:cs="Arial" w:eastAsia="Arial" w:hAnsi="Arial"/>
          <w:sz w:val="16"/>
          <w:szCs w:val="16"/>
          <w:color w:val="auto"/>
        </w:rPr>
        <w:t>The two external segments represent sales of products and plans under the Company’s carrier contracts using an independent, national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of agents who are not employed by the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results of the Company’s operating segments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 30,</w:t>
            </w:r>
          </w:p>
        </w:tc>
        <w:tc>
          <w:tcPr>
            <w:tcW w:w="220" w:type="dxa"/>
            <w:vAlign w:val="bottom"/>
          </w:tcPr>
          <w:p>
            <w:pPr>
              <w:spacing w:after="0"/>
              <w:rPr>
                <w:sz w:val="16"/>
                <w:szCs w:val="16"/>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69"/>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4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316,211</w:t>
            </w:r>
          </w:p>
        </w:tc>
      </w:tr>
      <w:tr>
        <w:trPr>
          <w:trHeight w:val="189"/>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46,237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77,305</w:t>
            </w: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204,842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153,975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593,507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393,516</w:t>
            </w:r>
          </w:p>
        </w:tc>
      </w:tr>
      <w:tr>
        <w:trPr>
          <w:trHeight w:val="169"/>
        </w:trPr>
        <w:tc>
          <w:tcPr>
            <w:tcW w:w="594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21,798</w:t>
            </w:r>
          </w:p>
        </w:tc>
      </w:tr>
      <w:tr>
        <w:trPr>
          <w:trHeight w:val="189"/>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16,113</w:t>
            </w: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37,911</w:t>
            </w:r>
          </w:p>
        </w:tc>
      </w:tr>
      <w:tr>
        <w:trPr>
          <w:trHeight w:val="18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163,360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612,815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431,427</w:t>
            </w:r>
          </w:p>
        </w:tc>
      </w:tr>
      <w:tr>
        <w:trPr>
          <w:trHeight w:val="169"/>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5940" w:type="dxa"/>
            <w:vAlign w:val="bottom"/>
          </w:tcPr>
          <w:p>
            <w:pPr>
              <w:ind w:left="240"/>
              <w:spacing w:after="0"/>
              <w:rPr>
                <w:sz w:val="20"/>
                <w:szCs w:val="20"/>
                <w:color w:val="auto"/>
              </w:rPr>
            </w:pPr>
            <w:r>
              <w:rPr>
                <w:rFonts w:ascii="Arial" w:cs="Arial" w:eastAsia="Arial" w:hAnsi="Arial"/>
                <w:sz w:val="14"/>
                <w:szCs w:val="14"/>
                <w:i w:val="1"/>
                <w:iCs w:val="1"/>
                <w:color w:val="auto"/>
              </w:rPr>
              <w:t>Medicare: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123,946</w:t>
            </w:r>
          </w:p>
        </w:tc>
      </w:tr>
      <w:tr>
        <w:trPr>
          <w:trHeight w:val="189"/>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73,121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124,838</w:t>
            </w:r>
          </w:p>
        </w:tc>
      </w:tr>
      <w:tr>
        <w:trPr>
          <w:trHeight w:val="169"/>
        </w:trPr>
        <w:tc>
          <w:tcPr>
            <w:tcW w:w="5940" w:type="dxa"/>
            <w:vAlign w:val="bottom"/>
          </w:tcPr>
          <w:p>
            <w:pPr>
              <w:ind w:left="240"/>
              <w:spacing w:after="0"/>
              <w:rPr>
                <w:sz w:val="20"/>
                <w:szCs w:val="20"/>
                <w:color w:val="auto"/>
              </w:rPr>
            </w:pPr>
            <w:r>
              <w:rPr>
                <w:rFonts w:ascii="Arial" w:cs="Arial" w:eastAsia="Arial" w:hAnsi="Arial"/>
                <w:sz w:val="14"/>
                <w:szCs w:val="14"/>
                <w:i w:val="1"/>
                <w:iCs w:val="1"/>
                <w:color w:val="auto"/>
              </w:rPr>
              <w:t>IFP and Other: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5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Internal channel</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External channel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IFP and Other</w:t>
            </w: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r>
      <w:tr>
        <w:trPr>
          <w:trHeight w:val="18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 (loss)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50,086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125,808</w:t>
            </w:r>
          </w:p>
        </w:tc>
      </w:tr>
      <w:tr>
        <w:trPr>
          <w:trHeight w:val="18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241,942</w:t>
            </w:r>
          </w:p>
        </w:tc>
      </w:tr>
      <w:tr>
        <w:trPr>
          <w:trHeight w:val="189"/>
        </w:trPr>
        <w:tc>
          <w:tcPr>
            <w:tcW w:w="594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liability</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19,700</w:t>
            </w:r>
          </w:p>
        </w:tc>
      </w:tr>
      <w:tr>
        <w:trPr>
          <w:trHeight w:val="189"/>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70,543</w:t>
            </w:r>
          </w:p>
        </w:tc>
      </w:tr>
      <w:tr>
        <w:trPr>
          <w:trHeight w:val="189"/>
        </w:trPr>
        <w:tc>
          <w:tcPr>
            <w:tcW w:w="59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r>
      <w:tr>
        <w:trPr>
          <w:trHeight w:val="18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r>
      <w:tr>
        <w:trPr>
          <w:trHeight w:val="20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(55,510)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(206,434)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(230,261)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There are no internal revenue transactions between the Company’s operating segments. Substantially all revenue for the periods presented was generated from customers located in the United States. The Company’s CODM does not separately evaluate assets by segment, and therefore assets by segment are not presented. The Company’s assets are primarily located in the United States.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Significant Customers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carriers representing 10% or more of the Company’s total revenue for the periods indicated:</w:t>
      </w:r>
    </w:p>
    <w:p>
      <w:pPr>
        <w:sectPr>
          <w:pgSz w:w="11900" w:h="16838" w:orient="portrait"/>
          <w:cols w:equalWidth="0" w:num="1">
            <w:col w:w="11240"/>
          </w:cols>
          <w:pgMar w:left="320" w:top="1323" w:right="339" w:bottom="1440" w:gutter="0" w:footer="0" w:header="0"/>
        </w:sectPr>
      </w:pPr>
    </w:p>
    <w:p>
      <w:pPr>
        <w:spacing w:after="0" w:line="246"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 Sep.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17780</wp:posOffset>
            </wp:positionV>
            <wp:extent cx="1731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ind w:left="6180"/>
        <w:spacing w:after="0"/>
        <w:tabs>
          <w:tab w:leader="none" w:pos="75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Nine months ended Sep.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17780</wp:posOffset>
            </wp:positionV>
            <wp:extent cx="17399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8200" w:space="720"/>
            <w:col w:w="2320"/>
          </w:cols>
          <w:pgMar w:left="320" w:top="1323"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Humana</w:t>
            </w:r>
          </w:p>
        </w:tc>
        <w:tc>
          <w:tcPr>
            <w:tcW w:w="18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40 %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33 %</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r>
      <w:tr>
        <w:trPr>
          <w:trHeight w:val="189"/>
        </w:trPr>
        <w:tc>
          <w:tcPr>
            <w:tcW w:w="5680" w:type="dxa"/>
            <w:vAlign w:val="bottom"/>
          </w:tcPr>
          <w:p>
            <w:pPr>
              <w:ind w:left="20"/>
              <w:spacing w:after="0"/>
              <w:rPr>
                <w:sz w:val="20"/>
                <w:szCs w:val="20"/>
                <w:color w:val="auto"/>
              </w:rPr>
            </w:pPr>
            <w:r>
              <w:rPr>
                <w:rFonts w:ascii="Arial" w:cs="Arial" w:eastAsia="Arial" w:hAnsi="Arial"/>
                <w:sz w:val="14"/>
                <w:szCs w:val="14"/>
                <w:color w:val="auto"/>
              </w:rPr>
              <w:t>Anthem</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17 %</w:t>
            </w:r>
          </w:p>
        </w:tc>
        <w:tc>
          <w:tcPr>
            <w:tcW w:w="8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1840" w:type="dxa"/>
            <w:vAlign w:val="bottom"/>
          </w:tcPr>
          <w:p>
            <w:pPr>
              <w:jc w:val="right"/>
              <w:ind w:right="468"/>
              <w:spacing w:after="0"/>
              <w:rPr>
                <w:sz w:val="20"/>
                <w:szCs w:val="20"/>
                <w:color w:val="auto"/>
              </w:rPr>
            </w:pPr>
            <w:r>
              <w:rPr>
                <w:rFonts w:ascii="Arial" w:cs="Arial" w:eastAsia="Arial" w:hAnsi="Arial"/>
                <w:sz w:val="14"/>
                <w:szCs w:val="14"/>
                <w:color w:val="auto"/>
              </w:rPr>
              <w:t>28 %</w:t>
            </w:r>
          </w:p>
        </w:tc>
        <w:tc>
          <w:tcPr>
            <w:tcW w:w="9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89"/>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w:t>
            </w:r>
          </w:p>
        </w:tc>
        <w:tc>
          <w:tcPr>
            <w:tcW w:w="18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14 %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16 %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90"/>
        </w:trPr>
        <w:tc>
          <w:tcPr>
            <w:tcW w:w="5680" w:type="dxa"/>
            <w:vAlign w:val="bottom"/>
          </w:tcPr>
          <w:p>
            <w:pPr>
              <w:ind w:left="20"/>
              <w:spacing w:after="0"/>
              <w:rPr>
                <w:sz w:val="20"/>
                <w:szCs w:val="20"/>
                <w:color w:val="auto"/>
              </w:rPr>
            </w:pPr>
            <w:r>
              <w:rPr>
                <w:rFonts w:ascii="Arial" w:cs="Arial" w:eastAsia="Arial" w:hAnsi="Arial"/>
                <w:sz w:val="14"/>
                <w:szCs w:val="14"/>
                <w:color w:val="auto"/>
              </w:rPr>
              <w:t>Centene</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15 %</w:t>
            </w:r>
          </w:p>
        </w:tc>
        <w:tc>
          <w:tcPr>
            <w:tcW w:w="88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840" w:type="dxa"/>
            <w:vAlign w:val="bottom"/>
          </w:tcPr>
          <w:p>
            <w:pPr>
              <w:jc w:val="right"/>
              <w:ind w:right="468"/>
              <w:spacing w:after="0"/>
              <w:rPr>
                <w:sz w:val="20"/>
                <w:szCs w:val="20"/>
                <w:color w:val="auto"/>
              </w:rPr>
            </w:pPr>
            <w:r>
              <w:rPr>
                <w:rFonts w:ascii="Arial" w:cs="Arial" w:eastAsia="Arial" w:hAnsi="Arial"/>
                <w:sz w:val="14"/>
                <w:szCs w:val="14"/>
                <w:color w:val="auto"/>
              </w:rPr>
              <w:t>13 %</w:t>
            </w:r>
          </w:p>
        </w:tc>
        <w:tc>
          <w:tcPr>
            <w:tcW w:w="900" w:type="dxa"/>
            <w:vAlign w:val="bottom"/>
          </w:tcPr>
          <w:p>
            <w:pPr>
              <w:jc w:val="right"/>
              <w:spacing w:after="0"/>
              <w:rPr>
                <w:sz w:val="20"/>
                <w:szCs w:val="20"/>
                <w:color w:val="auto"/>
              </w:rPr>
            </w:pPr>
            <w:r>
              <w:rPr>
                <w:rFonts w:ascii="Arial" w:cs="Arial" w:eastAsia="Arial" w:hAnsi="Arial"/>
                <w:sz w:val="14"/>
                <w:szCs w:val="14"/>
                <w:color w:val="auto"/>
              </w:rPr>
              <w:t>11 %</w:t>
            </w:r>
          </w:p>
        </w:tc>
      </w:tr>
    </w:tbl>
    <w:p>
      <w:pPr>
        <w:spacing w:after="0" w:line="31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Substantially all of the revenue from these customers was from the sales of products and plans within the Medicare—Internal and Medicare—External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does not require collateral or other security in granting credit. As of September 30, 2021, four customers each represented 10% or more of the Company’s total accounts receivable and unbilled receivables and, in aggregate, represented 93%, or $10.8 million, of the combined total. As of December 31, 2020, three customers each represented 10% or more of the Company’s total accounts receivable and unbilled receivables and, in aggregate, represented 86%, or $23.2 million, of the combined total.</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MANAGEMENT’S DISCUSSION AND ANALYSIS OF FINANCIAL CONDITIONS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2020 Form 10-K. We assume no obligation to update any of these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certain cases, numbers and percentages in the tables below may not foot due to rounding.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insurance advice to help navigate one of the most important purchasing decisions individuals make.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 (iv) 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185" w:lineRule="exact"/>
        <w:rPr>
          <w:sz w:val="20"/>
          <w:szCs w:val="20"/>
          <w:color w:val="auto"/>
        </w:rPr>
      </w:pPr>
    </w:p>
    <w:p>
      <w:pPr>
        <w:ind w:left="660" w:right="40" w:hanging="328"/>
        <w:spacing w:after="0" w:line="26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Medicare—Internal: </w:t>
      </w:r>
      <w:r>
        <w:rPr>
          <w:rFonts w:ascii="Arial" w:cs="Arial" w:eastAsia="Arial" w:hAnsi="Arial"/>
          <w:sz w:val="16"/>
          <w:szCs w:val="16"/>
          <w:color w:val="auto"/>
        </w:rPr>
        <w:t>The Medicare—Internal segment relates to sales of products and plans by GoHealth-employed agents offering 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25" w:name="page26"/>
    <w:bookmarkEnd w:id="25"/>
    <w:p>
      <w:pPr>
        <w:ind w:left="660" w:right="80"/>
        <w:spacing w:after="0" w:line="251" w:lineRule="auto"/>
        <w:rPr>
          <w:sz w:val="20"/>
          <w:szCs w:val="20"/>
          <w:color w:val="auto"/>
        </w:rPr>
      </w:pPr>
      <w:r>
        <w:rPr>
          <w:rFonts w:ascii="Arial" w:cs="Arial" w:eastAsia="Arial" w:hAnsi="Arial"/>
          <w:sz w:val="16"/>
          <w:szCs w:val="16"/>
          <w:color w:val="auto"/>
        </w:rPr>
        <w:t>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 The Medicare—Internal segment is our largest and fastest growing segment.</w:t>
      </w:r>
    </w:p>
    <w:p>
      <w:pPr>
        <w:spacing w:after="0" w:line="182" w:lineRule="exact"/>
        <w:rPr>
          <w:sz w:val="20"/>
          <w:szCs w:val="20"/>
          <w:color w:val="auto"/>
        </w:rPr>
      </w:pPr>
    </w:p>
    <w:p>
      <w:pPr>
        <w:ind w:left="660" w:right="100" w:hanging="328"/>
        <w:spacing w:after="0" w:line="25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Medicare—External: </w:t>
      </w:r>
      <w:r>
        <w:rPr>
          <w:rFonts w:ascii="Arial" w:cs="Arial" w:eastAsia="Arial" w:hAnsi="Arial"/>
          <w:sz w:val="16"/>
          <w:szCs w:val="16"/>
          <w:color w:val="auto"/>
        </w:rPr>
        <w:t>The Medicare—External segment relates to sales of products and plans under GoHealth’s carrier contracts using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national network of agents or external 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179" w:lineRule="exact"/>
        <w:rPr>
          <w:rFonts w:ascii="Arial" w:cs="Arial" w:eastAsia="Arial" w:hAnsi="Arial"/>
          <w:sz w:val="16"/>
          <w:szCs w:val="16"/>
          <w:color w:val="auto"/>
        </w:rPr>
      </w:pPr>
    </w:p>
    <w:p>
      <w:pPr>
        <w:ind w:left="660" w:right="140" w:hanging="328"/>
        <w:spacing w:after="0" w:line="25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Other—Internal: </w:t>
      </w:r>
      <w:r>
        <w:rPr>
          <w:rFonts w:ascii="Arial" w:cs="Arial" w:eastAsia="Arial" w:hAnsi="Arial"/>
          <w:sz w:val="16"/>
          <w:szCs w:val="16"/>
          <w:color w:val="auto"/>
        </w:rPr>
        <w:t>The IFP and Other—Internal segment relates to sales of products and plans by GoHealth-employed agents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79" w:lineRule="exact"/>
        <w:rPr>
          <w:rFonts w:ascii="Arial" w:cs="Arial" w:eastAsia="Arial" w:hAnsi="Arial"/>
          <w:sz w:val="16"/>
          <w:szCs w:val="16"/>
          <w:color w:val="auto"/>
        </w:rPr>
      </w:pPr>
    </w:p>
    <w:p>
      <w:pPr>
        <w:ind w:left="660" w:right="200" w:hanging="328"/>
        <w:spacing w:after="0" w:line="25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IFP and Other—External: </w:t>
      </w:r>
      <w:r>
        <w:rPr>
          <w:rFonts w:ascii="Arial" w:cs="Arial" w:eastAsia="Arial" w:hAnsi="Arial"/>
          <w:sz w:val="16"/>
          <w:szCs w:val="16"/>
          <w:color w:val="auto"/>
        </w:rPr>
        <w:t>The IFP and Other—External segment relates to sales of products and plans under GoHealth’s carrier contracts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percentages of revenues and profit (loss) generated by each of our operating segments for the periods presented:</w:t>
      </w:r>
    </w:p>
    <w:p>
      <w:pPr>
        <w:sectPr>
          <w:pgSz w:w="11900" w:h="16838" w:orient="portrait"/>
          <w:cols w:equalWidth="0" w:num="1">
            <w:col w:w="11240"/>
          </w:cols>
          <w:pgMar w:left="320" w:top="1343" w:right="339" w:bottom="1440" w:gutter="0" w:footer="0" w:header="0"/>
        </w:sectPr>
      </w:pPr>
    </w:p>
    <w:p>
      <w:pPr>
        <w:spacing w:after="0" w:line="246"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Three months ended Sep.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17780</wp:posOffset>
            </wp:positionV>
            <wp:extent cx="1722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2" w:lineRule="exact"/>
        <w:rPr>
          <w:sz w:val="20"/>
          <w:szCs w:val="20"/>
          <w:color w:val="auto"/>
        </w:rPr>
      </w:pPr>
    </w:p>
    <w:p>
      <w:pPr>
        <w:ind w:left="6280"/>
        <w:spacing w:after="0"/>
        <w:tabs>
          <w:tab w:leader="none" w:pos="76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Nine months ended Sep.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17780</wp:posOffset>
            </wp:positionV>
            <wp:extent cx="1688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2"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8" w:lineRule="exact"/>
        <w:rPr>
          <w:sz w:val="20"/>
          <w:szCs w:val="20"/>
          <w:color w:val="auto"/>
        </w:rPr>
      </w:pPr>
    </w:p>
    <w:p>
      <w:pPr>
        <w:sectPr>
          <w:pgSz w:w="11900" w:h="16838" w:orient="portrait"/>
          <w:cols w:equalWidth="0" w:num="2">
            <w:col w:w="8240" w:space="720"/>
            <w:col w:w="2280"/>
          </w:cols>
          <w:pgMar w:left="320" w:top="1343"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Percent of net revenues:</w:t>
            </w: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r>
      <w:tr>
        <w:trPr>
          <w:trHeight w:val="189"/>
        </w:trPr>
        <w:tc>
          <w:tcPr>
            <w:tcW w:w="578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320" w:type="dxa"/>
            <w:vAlign w:val="bottom"/>
          </w:tcPr>
          <w:p>
            <w:pPr>
              <w:jc w:val="right"/>
              <w:spacing w:after="0"/>
              <w:rPr>
                <w:sz w:val="20"/>
                <w:szCs w:val="20"/>
                <w:color w:val="auto"/>
              </w:rPr>
            </w:pPr>
            <w:r>
              <w:rPr>
                <w:rFonts w:ascii="Arial" w:cs="Arial" w:eastAsia="Arial" w:hAnsi="Arial"/>
                <w:sz w:val="14"/>
                <w:szCs w:val="14"/>
                <w:color w:val="auto"/>
              </w:rPr>
              <w:t>75.0 %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73.3 %</w:t>
            </w:r>
          </w:p>
        </w:tc>
      </w:tr>
      <w:tr>
        <w:trPr>
          <w:trHeight w:val="189"/>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r>
      <w:tr>
        <w:trPr>
          <w:trHeight w:val="189"/>
        </w:trPr>
        <w:tc>
          <w:tcPr>
            <w:tcW w:w="578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32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189"/>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56"/>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Percent of segment profit (loss):</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9"/>
        </w:trPr>
        <w:tc>
          <w:tcPr>
            <w:tcW w:w="578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420" w:type="dxa"/>
            <w:vAlign w:val="bottom"/>
            <w:gridSpan w:val="2"/>
          </w:tcPr>
          <w:p>
            <w:pPr>
              <w:ind w:left="1080"/>
              <w:spacing w:after="0"/>
              <w:rPr>
                <w:sz w:val="20"/>
                <w:szCs w:val="20"/>
                <w:color w:val="auto"/>
              </w:rPr>
            </w:pPr>
            <w:r>
              <w:rPr>
                <w:rFonts w:ascii="Arial" w:cs="Arial" w:eastAsia="Arial" w:hAnsi="Arial"/>
                <w:sz w:val="14"/>
                <w:szCs w:val="14"/>
                <w:color w:val="auto"/>
              </w:rPr>
              <w:t>NM</w:t>
            </w:r>
          </w:p>
        </w:tc>
        <w:tc>
          <w:tcPr>
            <w:tcW w:w="1280" w:type="dxa"/>
            <w:vAlign w:val="bottom"/>
          </w:tcPr>
          <w:p>
            <w:pPr>
              <w:jc w:val="right"/>
              <w:spacing w:after="0"/>
              <w:rPr>
                <w:sz w:val="20"/>
                <w:szCs w:val="20"/>
                <w:color w:val="auto"/>
              </w:rPr>
            </w:pPr>
            <w:r>
              <w:rPr>
                <w:rFonts w:ascii="Arial" w:cs="Arial" w:eastAsia="Arial" w:hAnsi="Arial"/>
                <w:sz w:val="14"/>
                <w:szCs w:val="14"/>
                <w:color w:val="auto"/>
              </w:rPr>
              <w:t>98.8 %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98.6 %</w:t>
            </w:r>
          </w:p>
        </w:tc>
      </w:tr>
      <w:tr>
        <w:trPr>
          <w:trHeight w:val="189"/>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NM</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r>
      <w:tr>
        <w:trPr>
          <w:trHeight w:val="189"/>
        </w:trPr>
        <w:tc>
          <w:tcPr>
            <w:tcW w:w="578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420" w:type="dxa"/>
            <w:vAlign w:val="bottom"/>
            <w:gridSpan w:val="2"/>
          </w:tcPr>
          <w:p>
            <w:pPr>
              <w:ind w:left="1080"/>
              <w:spacing w:after="0"/>
              <w:rPr>
                <w:sz w:val="20"/>
                <w:szCs w:val="20"/>
                <w:color w:val="auto"/>
              </w:rPr>
            </w:pPr>
            <w:r>
              <w:rPr>
                <w:rFonts w:ascii="Arial" w:cs="Arial" w:eastAsia="Arial" w:hAnsi="Arial"/>
                <w:sz w:val="14"/>
                <w:szCs w:val="14"/>
                <w:color w:val="auto"/>
              </w:rPr>
              <w:t>NM</w:t>
            </w:r>
          </w:p>
        </w:tc>
        <w:tc>
          <w:tcPr>
            <w:tcW w:w="12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0.1 %</w:t>
            </w:r>
          </w:p>
        </w:tc>
      </w:tr>
      <w:tr>
        <w:trPr>
          <w:trHeight w:val="189"/>
        </w:trPr>
        <w:tc>
          <w:tcPr>
            <w:tcW w:w="5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0.6 %</w:t>
            </w: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Total segment profit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r>
      <w:tr>
        <w:trPr>
          <w:trHeight w:val="20"/>
        </w:trPr>
        <w:tc>
          <w:tcPr>
            <w:tcW w:w="5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NM = amount is not meaningful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Transactions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Our historical results of operations prior to the completion of the Transactions, including the IPO, do not reflect certain items that we expect will affect our results of operations and financial condition after giving effect to the Transactions and the use of proceeds from the IPO.</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 in a consolidated entity in GoHealth, Inc.’s Condensed Consolidated Financial Statements for the economic interest in GoHealth Holdings, LLC held directly or indirectly by the Continuing Equity Owners. As of September 30, 2021, public investors collectively own 64.5% of our outstanding Class A common stock, consisting of 74,030 shares of Class A common stock. As of September 30, 2021, GoHealth, Inc. owns 114,713 LLC Interests, representing 36.3% of the economic interest in GoHealth Holdings, LLC, the Founders collectively own 97,718</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26" w:name="page27"/>
    <w:bookmarkEnd w:id="26"/>
    <w:p>
      <w:pPr>
        <w:ind w:right="20"/>
        <w:spacing w:after="0" w:line="250" w:lineRule="auto"/>
        <w:rPr>
          <w:sz w:val="20"/>
          <w:szCs w:val="20"/>
          <w:color w:val="auto"/>
        </w:rPr>
      </w:pPr>
      <w:r>
        <w:rPr>
          <w:rFonts w:ascii="Arial" w:cs="Arial" w:eastAsia="Arial" w:hAnsi="Arial"/>
          <w:sz w:val="16"/>
          <w:szCs w:val="16"/>
          <w:color w:val="auto"/>
        </w:rPr>
        <w:t>LLC Interests, representing 30.9% of the economic interest in GoHealth Holdings, LLC, Centerbridge owns 80,793 LLC Interests, representing 25.6% of the economic interest in GoHealth Holdings, LLC, and the Continuing Equity Owners collectively own 22,757 LLC Interests, representing 7.2% of the economic interest in GoHealth Holdings, LLC. Accordingly, as of September 30, 2021, the economic interest in GoHealth Holdings, LLC held by non-controlling interest was 63.7%. GoHealth, Inc. is a holding company that conducts no operations and its principal asset is the LLC Interests we purchased from GoHealth Holdings, LLC.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September 30,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139065</wp:posOffset>
            </wp:positionV>
            <wp:extent cx="5143500" cy="2143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Response to COVID-19, Impact and Recovery</w:t>
      </w:r>
    </w:p>
    <w:p>
      <w:pPr>
        <w:spacing w:after="0" w:line="2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March 2020, the World Health Organization declared a pandemic due to COVID-19 and the pandemic continues to have significant impact on the U.S. economy. During the pandemic we successfully transitioned our agents and other employees to a work from home working environment and opened several virtual sites across the country. We believe the investments we have made in our technology infrastructure have allowed for a seamless transition without any material impacts to our business, highlighting its resilience. We believe that our business is well-suited to navigate the current environment in which consumers are particularly focused on healthcare issues and mortality. The Company continues to implement a gradual and phased return to the office for certain employees, while we expect other employees will continue to work in a remote environment for the foreseeable future. Employee work location decisions will continue to depend, at least in part, on the level of virus containment and local health and safety regulations. While social distancing requirements have pushed consumers to conduct business remotely, the underlying demand dynamics for our core products remain unchanged. Additionally, because of our remote agent platform, we believe agents will continue to be attracted to our bonus-based agent compensation model and the stable and attractive source of income it can provide, thereby allowing us to continue to recruit and retain agents. Further, as consumers become more comfortable with conducting business remotely, we believe consumer adoption of distribution models such as ours may continue to accelerate long after the COVID-19 pandemic ends.</w:t>
      </w:r>
    </w:p>
    <w:p>
      <w:pPr>
        <w:spacing w:after="0" w:line="200" w:lineRule="exact"/>
        <w:rPr>
          <w:sz w:val="20"/>
          <w:szCs w:val="20"/>
          <w:color w:val="auto"/>
        </w:rPr>
      </w:pPr>
    </w:p>
    <w:p>
      <w:pPr>
        <w:spacing w:after="0" w:line="20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COVID-19 pandemic has resulted in, and may continue to result in, significant economic disruption in the economy. While the situation has improved, namely with the help of vaccines, variants continue to put stress on the recovery. We continue to closely monitor the situation and its impacts on our business, liquidity, and capital planning initiatives.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 in our 2020 Form 10-K for additional information.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2021 compared to three months ended September 30, 2020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 30,</w:t>
            </w: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 30,</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Dollars</w:t>
            </w: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2"/>
                <w:szCs w:val="12"/>
                <w:color w:val="auto"/>
              </w:rPr>
            </w:pPr>
          </w:p>
        </w:tc>
        <w:tc>
          <w:tcPr>
            <w:tcW w:w="10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Dollars</w:t>
            </w:r>
          </w:p>
        </w:tc>
        <w:tc>
          <w:tcPr>
            <w:tcW w:w="8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174,948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82.6 %</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101,390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211,734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25,827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87,813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52,896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156,551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260,353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221.1 %</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89"/>
        </w:trPr>
        <w:tc>
          <w:tcPr>
            <w:tcW w:w="70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(55,510)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(206,434)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(55,431)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(206,496)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(150,076)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(56,420)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Non-GAAP financial measures: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0"/>
              <w:spacing w:after="0"/>
              <w:rPr>
                <w:sz w:val="20"/>
                <w:szCs w:val="20"/>
                <w:color w:val="auto"/>
              </w:rPr>
            </w:pPr>
            <w:r>
              <w:rPr>
                <w:rFonts w:ascii="Arial" w:cs="Arial" w:eastAsia="Arial" w:hAnsi="Arial"/>
                <w:sz w:val="14"/>
                <w:szCs w:val="14"/>
                <w:color w:val="auto"/>
              </w:rPr>
              <w:t>EBITDA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(22,519)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(173,021)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70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(6.6)%</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24.0 %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EBITDA, Adjusted EBITDA and Adjusted EBITDA Margin</w:t>
      </w:r>
    </w:p>
    <w:p>
      <w:pPr>
        <w:spacing w:after="0" w:line="23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20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Adjusted EBITDA represents EBITDA as further adjusted for share-based compensation expense, accelerated vesting of certain equity awards, loss on extinguishment of debt, loss on sublease, non-recurring legal fees, change in fair value of contingent consideration liability, IPO transaction costs, and severance costs. Adjusted EBITDA margin represents Adjusted EBITDA divided by net revenues.</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8" w:name="page29"/>
    <w:bookmarkEnd w:id="28"/>
    <w:p>
      <w:pPr>
        <w:ind w:right="120"/>
        <w:spacing w:after="0" w:line="251" w:lineRule="auto"/>
        <w:rPr>
          <w:sz w:val="20"/>
          <w:szCs w:val="20"/>
          <w:color w:val="auto"/>
        </w:rPr>
      </w:pPr>
      <w:r>
        <w:rPr>
          <w:rFonts w:ascii="Arial" w:cs="Arial" w:eastAsia="Arial" w:hAnsi="Arial"/>
          <w:sz w:val="16"/>
          <w:szCs w:val="16"/>
          <w:color w:val="auto"/>
        </w:rPr>
        <w:t>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Sep. 30,</w:t>
            </w:r>
          </w:p>
        </w:tc>
      </w:tr>
      <w:tr>
        <w:trPr>
          <w:trHeight w:val="18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83"/>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211,734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163,360</w:t>
            </w:r>
          </w:p>
        </w:tc>
      </w:tr>
      <w:tr>
        <w:trPr>
          <w:trHeight w:val="183"/>
        </w:trPr>
        <w:tc>
          <w:tcPr>
            <w:tcW w:w="8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(55,431)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(206,496)</w:t>
            </w:r>
          </w:p>
        </w:tc>
      </w:tr>
      <w:tr>
        <w:trPr>
          <w:trHeight w:val="189"/>
        </w:trPr>
        <w:tc>
          <w:tcPr>
            <w:tcW w:w="8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r>
      <w:tr>
        <w:trPr>
          <w:trHeight w:val="189"/>
        </w:trPr>
        <w:tc>
          <w:tcPr>
            <w:tcW w:w="86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8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24,777</w:t>
            </w:r>
          </w:p>
        </w:tc>
      </w:tr>
      <w:tr>
        <w:trPr>
          <w:trHeight w:val="183"/>
        </w:trPr>
        <w:tc>
          <w:tcPr>
            <w:tcW w:w="8640" w:type="dxa"/>
            <w:vAlign w:val="bottom"/>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(173,021)</w:t>
            </w:r>
          </w:p>
        </w:tc>
      </w:tr>
      <w:tr>
        <w:trPr>
          <w:trHeight w:val="189"/>
        </w:trPr>
        <w:tc>
          <w:tcPr>
            <w:tcW w:w="8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Share-based compensation expense (1)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r>
      <w:tr>
        <w:trPr>
          <w:trHeight w:val="189"/>
        </w:trPr>
        <w:tc>
          <w:tcPr>
            <w:tcW w:w="8640" w:type="dxa"/>
            <w:vAlign w:val="bottom"/>
          </w:tcPr>
          <w:p>
            <w:pPr>
              <w:ind w:left="240"/>
              <w:spacing w:after="0"/>
              <w:rPr>
                <w:sz w:val="20"/>
                <w:szCs w:val="20"/>
                <w:color w:val="auto"/>
              </w:rPr>
            </w:pPr>
            <w:r>
              <w:rPr>
                <w:rFonts w:ascii="Arial" w:cs="Arial" w:eastAsia="Arial" w:hAnsi="Arial"/>
                <w:sz w:val="14"/>
                <w:szCs w:val="14"/>
                <w:color w:val="auto"/>
              </w:rPr>
              <w:t>Accelerated vesting of certain equity awards (2)</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209,300</w:t>
            </w:r>
          </w:p>
        </w:tc>
      </w:tr>
      <w:tr>
        <w:trPr>
          <w:trHeight w:val="189"/>
        </w:trPr>
        <w:tc>
          <w:tcPr>
            <w:tcW w:w="8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sublease (3)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640" w:type="dxa"/>
            <w:vAlign w:val="bottom"/>
          </w:tcPr>
          <w:p>
            <w:pPr>
              <w:ind w:left="240"/>
              <w:spacing w:after="0"/>
              <w:rPr>
                <w:sz w:val="20"/>
                <w:szCs w:val="20"/>
                <w:color w:val="auto"/>
              </w:rPr>
            </w:pPr>
            <w:r>
              <w:rPr>
                <w:rFonts w:ascii="Arial" w:cs="Arial" w:eastAsia="Arial" w:hAnsi="Arial"/>
                <w:sz w:val="14"/>
                <w:szCs w:val="14"/>
                <w:color w:val="auto"/>
              </w:rPr>
              <w:t>IPO transactions costs (4)</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07"/>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39,284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86"/>
        </w:trPr>
        <w:tc>
          <w:tcPr>
            <w:tcW w:w="86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24.0 %</w:t>
            </w:r>
          </w:p>
        </w:tc>
      </w:tr>
    </w:tbl>
    <w:p>
      <w:pPr>
        <w:spacing w:after="0" w:line="31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5" w:lineRule="exact"/>
        <w:rPr>
          <w:rFonts w:ascii="Arial" w:cs="Arial" w:eastAsia="Arial" w:hAnsi="Arial"/>
          <w:sz w:val="14"/>
          <w:szCs w:val="14"/>
          <w:i w:val="1"/>
          <w:iCs w:val="1"/>
          <w:color w:val="auto"/>
        </w:rPr>
      </w:pPr>
    </w:p>
    <w:p>
      <w:pPr>
        <w:ind w:left="340" w:right="100" w:hanging="332"/>
        <w:spacing w:after="0" w:line="241" w:lineRule="auto"/>
        <w:tabs>
          <w:tab w:leader="none" w:pos="327"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the accelerated vesting of performance-vesting units in connection with the IPO for the three months ended September 30, 2020.</w:t>
      </w: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loss related to a sublease agreement entered into during the three months ended September 30, 2021.</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indirect costs associated with the Company’s IPO.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Commission Revenues</w:t>
      </w:r>
    </w:p>
    <w:p>
      <w:pPr>
        <w:spacing w:after="0" w:line="237" w:lineRule="exact"/>
        <w:rPr>
          <w:sz w:val="20"/>
          <w:szCs w:val="20"/>
          <w:color w:val="auto"/>
        </w:rPr>
      </w:pPr>
    </w:p>
    <w:p>
      <w:pPr>
        <w:ind w:right="700"/>
        <w:spacing w:after="0" w:line="251" w:lineRule="auto"/>
        <w:rPr>
          <w:sz w:val="20"/>
          <w:szCs w:val="20"/>
          <w:color w:val="auto"/>
        </w:rPr>
      </w:pPr>
      <w:r>
        <w:rPr>
          <w:rFonts w:ascii="Arial" w:cs="Arial" w:eastAsia="Arial" w:hAnsi="Arial"/>
          <w:sz w:val="16"/>
          <w:szCs w:val="16"/>
          <w:color w:val="auto"/>
        </w:rPr>
        <w:t>Commission revenues were $174.9 million for the three months ended September 30, 2021 compared to $101.4 million for the three months ended September 30, 2020. The $73.6 million, or 73%, increase was primarily attributable to increases in commission revenue from the sales of Medicare Advantage policies in both the Medicare—Internal and Medicare—External segments, driven by a 100% increase in total Medicare Advantage commissionable Approved Submissions in the three months ended September 30, 2021 compared to the comparable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Enterprise Revenues</w:t>
      </w:r>
    </w:p>
    <w:p>
      <w:pPr>
        <w:spacing w:after="0" w:line="23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Enterprise revenues were $36.8 million for the three months ended September 30, 2021 compared to $62.0 million for the three months ended September 30, 2020. The $25.2 million, or 41%, decrease was primarily attributable to a decrease of $27.6 million related to partner marketing and enrollment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 of Revenue</w:t>
      </w:r>
    </w:p>
    <w:p>
      <w:pPr>
        <w:spacing w:after="0" w:line="237"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Cost of revenue was $53.6 million for the three months ended September 30, 2021 compared to $25.8 million for the three months ended September 30, 2020. The $27.8 million, or 108%, increase was primarily attributable to a 134% increase in commissionable Approved Submissions in the Medicare— External segment, which increased the amount of expense we recognized pursuant to our revenue-sharing agreements with external agents and other partners.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Marketing and Advertising</w:t>
      </w:r>
    </w:p>
    <w:p>
      <w:pPr>
        <w:spacing w:after="0" w:line="23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Marketing and advertising expense was $59.5 million for the three months ended September 30, 2021 compared to $62.8 million for the three months ended September 30, 2020. The $3.3 million, or 5%, decrease was primarily attributable to $24.7 million of share-based compensation expense recorded during the three months ended September 30, 2020 relating to the accelerated vesting of performance-vesting units in connection with the IPO. Absent this share-based compensation expense, the increase was primarily due to an increase in our advertising costs for the Medicare—Internal segment to generate more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429260</wp:posOffset>
            </wp:positionV>
            <wp:extent cx="825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429260</wp:posOffset>
            </wp:positionV>
            <wp:extent cx="889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2021 Form 10-Q</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color w:val="auto"/>
        </w:rPr>
        <w:t>prospects, which contributed to a 87% increase in Medicare—Internal commissionable Approved Submissions and 73% increase in commission revenue.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Customer Care and Enrollment</w:t>
      </w:r>
    </w:p>
    <w:p>
      <w:pPr>
        <w:spacing w:after="0" w:line="8" w:lineRule="exact"/>
        <w:rPr>
          <w:sz w:val="20"/>
          <w:szCs w:val="20"/>
          <w:color w:val="auto"/>
        </w:rPr>
      </w:pPr>
    </w:p>
    <w:p>
      <w:pPr>
        <w:ind w:right="220"/>
        <w:spacing w:after="0" w:line="233" w:lineRule="auto"/>
        <w:rPr>
          <w:sz w:val="20"/>
          <w:szCs w:val="20"/>
          <w:color w:val="auto"/>
        </w:rPr>
      </w:pPr>
      <w:r>
        <w:rPr>
          <w:rFonts w:ascii="Arial" w:cs="Arial" w:eastAsia="Arial" w:hAnsi="Arial"/>
          <w:sz w:val="16"/>
          <w:szCs w:val="16"/>
          <w:color w:val="auto"/>
        </w:rPr>
        <w:t>Customer care and enrollment expense was $87.8 million for the three months ended September 30, 2021 compared to $52.9 million for the three months ended September 30, 2020. The $34.9 million, or 66%, increase was primarily attributable to the hiring of additional agents in the Medicare—Internal segment to be well-positioned for target annual enrollment period (“AEP”) capacity. Additionally, the increase represents onboarding and new training initiatives, which position us to have the agent efficiency gains necessary to capitalize on opportunities, as well as expenses associated with an increased rate in attrition of agents. Additionally, customer care and enrollment expense for the three months ended September 30, 2020 included $11.5 million of share-based compensation expense relating to the accelerated vesting of performance-vesting units in connection with the IPO.</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w:t>
      </w:r>
    </w:p>
    <w:p>
      <w:pPr>
        <w:spacing w:after="0" w:line="23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Technology expense was $11.7 million for the three months ended September 30, 2021 compared to $39.5 million for the three months ended September 30, 2020. The $27.9 million, or 71%, decrease was primarily attributable to $32.6 million of share-based compensation expense recorded during the three months ended September 30, 2020 relating to the accelerated vesting of performance-vesting units in connection with the IPO. Absent this share-based compensation expense, the increase was primarily due to the hiring of additional employees in our technology and data science teams, and the expansion of our business intelligence and analytics staffing in order to support the growth of the Medicare—Internal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General and Administrative</w:t>
      </w:r>
    </w:p>
    <w:p>
      <w:pPr>
        <w:spacing w:after="0" w:line="23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General and administrative expense was $24.2 million for the three months ended September 30, 2021 compared to $156.6 million for the three months ended September 30, 2020. The $132.3 million, or 85%, decrease was primarily attributable to $140.6 million of share-based compensation expense recorded during the three months ended September 30, 2020 relating to the accelerated vesting of performance-vesting units in connection with the IPO. Absent this share-based compensation expense, the increase was primarily due to investments in corporate infrastructure, such as legal, human resources, and finance, to support general growth and implement the corporate resources needed to support a post-IPO business.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3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Amortization of intangible assets expense was $23.5 million for both the three months ended September 30, 2021 and three months ended September 30, 2020, and relates to the amortization of developed technology and customer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Interest Expense</w:t>
      </w:r>
    </w:p>
    <w:p>
      <w:pPr>
        <w:spacing w:after="0" w:line="23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Interest expense was $6.9 million for the three months ended September 30, 2021 compared to $8.6 million for the three months ended September 30, 2020. The $1.7 million decrease was due to the refinancing of the Initial Term Loan Facility in June 2021.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Adjusted EBITDA</w:t>
      </w:r>
    </w:p>
    <w:p>
      <w:pPr>
        <w:spacing w:after="0" w:line="23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Adjusted EBITDA was negative $14.1 million for the three months ended September 30, 2021 compared to positive $39.3 million for the three months ended September 30, 2020. The $53.4 million, or 136%, decrease was due to our strategic investments in agent capacity and capabilities to be well-positioned for target AEP production.</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Nine months ended September 30, 2021 compared to nine months ended September 30, 2020</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results of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1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 30,</w:t>
            </w:r>
          </w:p>
        </w:tc>
        <w:tc>
          <w:tcPr>
            <w:tcW w:w="20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 Sep. 30,</w:t>
            </w:r>
          </w:p>
        </w:tc>
        <w:tc>
          <w:tcPr>
            <w:tcW w:w="0" w:type="dxa"/>
            <w:vAlign w:val="bottom"/>
          </w:tcPr>
          <w:p>
            <w:pPr>
              <w:spacing w:after="0"/>
              <w:rPr>
                <w:sz w:val="1"/>
                <w:szCs w:val="1"/>
                <w:color w:val="auto"/>
              </w:rPr>
            </w:pPr>
          </w:p>
        </w:tc>
      </w:tr>
      <w:tr>
        <w:trPr>
          <w:trHeight w:val="176"/>
        </w:trPr>
        <w:tc>
          <w:tcPr>
            <w:tcW w:w="7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Dollars</w:t>
            </w: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2"/>
                <w:szCs w:val="12"/>
                <w:color w:val="auto"/>
              </w:rPr>
            </w:pPr>
          </w:p>
        </w:tc>
        <w:tc>
          <w:tcPr>
            <w:tcW w:w="10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Dollars</w:t>
            </w:r>
          </w:p>
        </w:tc>
        <w:tc>
          <w:tcPr>
            <w:tcW w:w="8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Commission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496,437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81.0 %</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310,506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72.0 %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Enterprise</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612,815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431,427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Cost of revenue</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139,449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104,520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Marketing and advertising</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196,834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Technology</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41.1 %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70,543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678,983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147.8 %</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(66,168)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(206,377)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89"/>
        </w:trPr>
        <w:tc>
          <w:tcPr>
            <w:tcW w:w="70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(102,016)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(230,261)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(101,874)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(230,299)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(67,612)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(150,076)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(34,262)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Non-GAAP financial measures: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0"/>
              <w:spacing w:after="0"/>
              <w:rPr>
                <w:sz w:val="20"/>
                <w:szCs w:val="20"/>
                <w:color w:val="auto"/>
              </w:rPr>
            </w:pPr>
            <w:r>
              <w:rPr>
                <w:rFonts w:ascii="Arial" w:cs="Arial" w:eastAsia="Arial" w:hAnsi="Arial"/>
                <w:sz w:val="14"/>
                <w:szCs w:val="14"/>
                <w:color w:val="auto"/>
              </w:rPr>
              <w:t>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(132,441)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70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5.3 %</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23.4 %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612,815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431,427</w:t>
            </w:r>
          </w:p>
        </w:tc>
      </w:tr>
      <w:tr>
        <w:trPr>
          <w:trHeight w:val="183"/>
        </w:trPr>
        <w:tc>
          <w:tcPr>
            <w:tcW w:w="8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(101,874)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(230,299)</w:t>
            </w: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77,175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r>
      <w:tr>
        <w:trPr>
          <w:trHeight w:val="18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(132,441)</w:t>
            </w: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extinguishment of debt (1)</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Share-based compensation expense (2)</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3,846</w:t>
            </w: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Accelerated vesting of certain equity awards (3)</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209,300</w:t>
            </w: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Loss on sublease (4)</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Legal fees (5)</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 (6)</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19,700</w:t>
            </w:r>
          </w:p>
        </w:tc>
      </w:tr>
      <w:tr>
        <w:trPr>
          <w:trHeight w:val="189"/>
        </w:trPr>
        <w:tc>
          <w:tcPr>
            <w:tcW w:w="8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IPO transactions costs (7)</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r>
      <w:tr>
        <w:trPr>
          <w:trHeight w:val="189"/>
        </w:trPr>
        <w:tc>
          <w:tcPr>
            <w:tcW w:w="8740" w:type="dxa"/>
            <w:vAlign w:val="bottom"/>
          </w:tcPr>
          <w:p>
            <w:pPr>
              <w:ind w:left="240"/>
              <w:spacing w:after="0"/>
              <w:rPr>
                <w:sz w:val="20"/>
                <w:szCs w:val="20"/>
                <w:color w:val="auto"/>
              </w:rPr>
            </w:pPr>
            <w:r>
              <w:rPr>
                <w:rFonts w:ascii="Arial" w:cs="Arial" w:eastAsia="Arial" w:hAnsi="Arial"/>
                <w:sz w:val="14"/>
                <w:szCs w:val="14"/>
                <w:color w:val="auto"/>
              </w:rPr>
              <w:t>Severance costs (8)</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101,141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86"/>
        </w:trPr>
        <w:tc>
          <w:tcPr>
            <w:tcW w:w="87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23.4 %</w:t>
            </w:r>
          </w:p>
        </w:tc>
      </w:tr>
    </w:tbl>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the loss on debt extinguishment related to the Initial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314960</wp:posOffset>
            </wp:positionV>
            <wp:extent cx="825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314960</wp:posOffset>
            </wp:positionV>
            <wp:extent cx="889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2021 Form 10-Q</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31" w:name="page32"/>
    <w:bookmarkEnd w:id="31"/>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5" w:lineRule="exact"/>
        <w:rPr>
          <w:rFonts w:ascii="Arial" w:cs="Arial" w:eastAsia="Arial" w:hAnsi="Arial"/>
          <w:sz w:val="14"/>
          <w:szCs w:val="14"/>
          <w:i w:val="1"/>
          <w:iCs w:val="1"/>
          <w:color w:val="auto"/>
        </w:rPr>
      </w:pPr>
    </w:p>
    <w:p>
      <w:pPr>
        <w:ind w:left="340" w:right="160" w:hanging="332"/>
        <w:spacing w:after="0" w:line="241" w:lineRule="auto"/>
        <w:tabs>
          <w:tab w:leader="none" w:pos="327"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the accelerated vesting of performance-vesting units in connection with the IPO for the nine months ended September 30, 2020.</w:t>
      </w: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loss related to a sublease agreement entered into during the nine months ended September 30, 2021.</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non-recurring legal fees unrelated to our core operations.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change in fair value of the contingent consideration liability due to the predecessor owners of the Company arising from the Centerbridge Acquisition.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legal, accounting, consulting, and other indirect costs associated with the Company’s IPO.</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associated with the termination of employment.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Commission Revenues</w:t>
      </w:r>
    </w:p>
    <w:p>
      <w:pPr>
        <w:spacing w:after="0" w:line="23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Commission revenues were $496.4 million for the nine months ended September 30, 2021 compared to $310.5 million for the nine months ended September 30, 2020. The $185.9 million, or 60%, increase was primarily attributable to increases in commission revenue from the Medicare—Internal segment driven by a 71% increase in Medicare commissionable Approved Submissions and increased LTV Per Approved Submission for the nine months ended September 30, 2021 compared to the comparable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Enterprise Revenues</w:t>
      </w:r>
    </w:p>
    <w:p>
      <w:pPr>
        <w:spacing w:after="0" w:line="23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Enterprise revenues were $116.4 million for the nine months ended September 30, 2021 compared to $120.9 million for the nine months ended September 30, 2020. The $4.5 million, or 4%, decrease was primarily attributable to a $9.3 million decrease in technology licensing and implementation fees, consumer lead sales to external third parties in our external segments, as we strategically shifted to generating consumer leads in the internal channels, and a decrease of $1.6 million related to partner marketing and enrollment services. These decreases were partially offset by a $6.4 million increase in our direct partner campaigns in our Medicare—Internal segment, which was driven by our ability to dedicate more resources to these campaigns as a result of our increased agent base.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Cost of Revenue</w:t>
      </w:r>
    </w:p>
    <w:p>
      <w:pPr>
        <w:spacing w:after="0" w:line="23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Cost of revenue was $139.4 million for the nine months ended September 30, 2021 compared to $104.5 million for the nine months ended September 30, 2020. The $34.9 million, or 33%, increase was primarily attributable to a 44% increase in commissionable Approved Submissions in the Medicare—External segment, which increased the amount of expense we recognized pursuant to our revenue-sharing agreements with external agents and other partners.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Marketing and Advertising</w:t>
      </w:r>
    </w:p>
    <w:p>
      <w:pPr>
        <w:spacing w:after="0" w:line="23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Marketing and advertising expense was $169.7 million for the nine months ended September 30, 2021 compared to $110.6 million for the nine months ended September 30, 2020. The $59.2 million, or 54%, increase was primarily attributable to an increase in our advertising costs for the Medicare—Internal segment to generate more qualified prospects, which contributed to a 71% increase in Medicare—Internal commissionable Approved Submissions and 42% increase in net revenue. Additionally, marketing and advertising expense for the nine months ended September 30, 2020 included $24.7 million of share-based compensation expense relating to the accelerated vesting of performance-vesting units in connection with the IPO.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Customer Care and Enrollment</w:t>
      </w:r>
    </w:p>
    <w:p>
      <w:pPr>
        <w:spacing w:after="0" w:line="2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Customer care and enrollment expense was $196.8 million for the nine months ended September 30, 2021 compared to $105.3 million for the nine months ended September 30, 2020. The $91.6 million, or 87%, increase was primarily attributable to the hiring of additional agents in the Medicare—Internal segment to be well-positioned for target AEP capacity. Additionally, the increase represents onboarding and new training initiatives, which position us to have the agent efficiency gains necessary to capitalize on opportunities, as well as expenses associated with an increased rate in attrition of agents. Additionally, customer care and enrollment expense for the nine months ended September 30, 2020 included $11.5 million of share-based compensation expense relating to the accelerated vesting of performance-vesting units in connection with the IPO.</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Technology</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Technology expense was $33.3 million for the nine months ended September 30, 2021 compared to $49.8 million for the nine months ended September 30, 2020. The $16.6 million, or 33%, decrease was primarily attributable to $32.6 million of share-based compensation expense recorded during the nine months ended September 30, 2020 relating to the accelerated vesting of performance-vesting units in connection with the IPO. Absent this share-based compensation expense, the increase was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29</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2" w:name="page33"/>
    <w:bookmarkEnd w:id="32"/>
    <w:p>
      <w:pPr>
        <w:ind w:right="220"/>
        <w:spacing w:after="0" w:line="260" w:lineRule="auto"/>
        <w:rPr>
          <w:sz w:val="20"/>
          <w:szCs w:val="20"/>
          <w:color w:val="auto"/>
        </w:rPr>
      </w:pPr>
      <w:r>
        <w:rPr>
          <w:rFonts w:ascii="Arial" w:cs="Arial" w:eastAsia="Arial" w:hAnsi="Arial"/>
          <w:sz w:val="16"/>
          <w:szCs w:val="16"/>
          <w:color w:val="auto"/>
        </w:rPr>
        <w:t>primarily due to the hiring of additional employees in our technology and data science teams, and the expansion of our business intelligence and analytics staffing in order to support the growth of the Medicare—Internal segment.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General and Administrative</w:t>
      </w:r>
    </w:p>
    <w:p>
      <w:pPr>
        <w:spacing w:after="0" w:line="23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General and administrative expense was $69.2 million for the nine months ended September 30, 2021 compared to $177.4 million for the nine months ended September 30, 2020. The $108.2 million, or 61%, decrease was primarily attributable to $140.6 million of share-based compensation expense recorded during the nine months ended September 30, 2020 relating to the accelerated vesting of performance-vesting units in connection with the IPO. Absent this share-based compensation expense, the increase was primarily due to investments in corporate infrastructure, such as legal, human resources, and finance, to support general growth and implement the corporate resources needed to support a post-IPO business.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 in Fair Value of Contingent Consideration Liability</w:t>
      </w:r>
    </w:p>
    <w:p>
      <w:pPr>
        <w:spacing w:after="0" w:line="23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Change in fair value of contingent consideration liability was $19.7 million for the nine months ended September 30, 2020 and relates to the earnout liability incurred in connection with the Centerbridge Acquisition, in which we agreed to pay additional consideration if certain financial targets are achieved. The earnout liability was settled in connection with our IPO.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Amortization of Intangible Assets</w:t>
      </w:r>
    </w:p>
    <w:p>
      <w:pPr>
        <w:spacing w:after="0" w:line="23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Amortization of intangible assets expense was $70.5 million for both the nine months ended September 30, 2021 and nine months ended September 30, 2020, and relates to the amortization of developed technology and customer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Interest Expense</w:t>
      </w:r>
    </w:p>
    <w:p>
      <w:pPr>
        <w:spacing w:after="0" w:line="23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Interest expense was $23.9 million for the nine months ended September 30, 2021 compared to $24.4 million for the nine months ended September 30, 2020. The $0.5 million decrease was due to the refinancing of the Initial Term Loan Facility in June 2021.</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Loss on Extinguishment of Debt</w:t>
      </w:r>
    </w:p>
    <w:p>
      <w:pPr>
        <w:spacing w:after="0" w:line="237"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Loss on extinguishment of debt was $11.9 million for the nine months ended September 30, 2021 and relates to the expense recognized for the extinguishment of the Initial Term Loan Facility.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Adjusted EBITDA</w:t>
      </w:r>
    </w:p>
    <w:p>
      <w:pPr>
        <w:spacing w:after="0" w:line="23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Adjusted EBITDA was $32.3 million for the nine months ended September 30, 2021 compared to $101.1 million for the nine months ended September 30, 2020. The $68.8 million, or 68%, decrease was due to our strategic investments in agent capacity and capabilities to be well-positioned for target AEP production.</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30</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Segment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2021 compared to three months ended September 30, 2020</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Our operating segments have been determined in accordance with Accounting Standards Codification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Note 12, “Operating Segments And Significant Customers,” to the Condensed Consolidated Financial Statements in this Quarterly Report on Form 10-Q.</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 30,</w:t>
            </w: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 30,</w:t>
            </w: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4"/>
                <w:szCs w:val="14"/>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158,605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75.0 %</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133,723</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81.8 %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46,237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5,742</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6,147</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211,734</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163,360</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(4,126)</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49,464</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30.3 %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2,186</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 (loss)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50,086</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182"/>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expense</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224,368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137.3 %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23,514</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11.1 %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23,514</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89"/>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(55,510)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(206,434)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(126.4)%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3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Net revenues for the Medicare—Internal segment were $158.6 million for the three months ended September 30, 2021 compared to $133.7 million for the three months ended September 30, 2020. The $24.9 million, or 19%, increase was primarily attributable to the hiring of additional agents, the increased utilization and efficiency of our agents and the implementation of new marketing strategies to generate a greater number of qualified prospects, which contributed to a 87% increase in commissionable Approved Submissions.</w:t>
      </w:r>
    </w:p>
    <w:p>
      <w:pPr>
        <w:spacing w:after="0" w:line="20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Net revenues for the Medicare—External segment were $46.2 million for the three months ended September 30, 2021 compared to $20.3 million for the three months ended September 30, 2020. The $26.0 million, or 128%, increase was primarily attributable to a 134% increase in commissionable Approved Submissions in the Medicare—External segment due to our ability to recruit and onboard additional external agents to enroll consumers in Medicare plans using our technology and platform.</w:t>
      </w:r>
    </w:p>
    <w:p>
      <w:pPr>
        <w:spacing w:after="0" w:line="20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Net revenues for the IFP and Other—Internal segment were $5.7 million for the three months ended September 30, 2021 compared to $6.1 million for the three months ended September 30, 2020. Net revenues for the IFP and Other—External segment were $1.2 million for the three months ended September 30, 2021 compared to $3.2 million for the three months ended September 30, 2020. For each of the IFP and Other segments, the decreases were primarily driven by a change in product mix sold, as well as a strategic shift towards higher margin Medicare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Profit (Loss)</w:t>
      </w:r>
    </w:p>
    <w:p>
      <w:pPr>
        <w:spacing w:after="0" w:line="23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Segment loss for the Medicare—Internal segment was $4.1 million for the three months ended September 30, 2021 compared to a profit of $49.5 million for the three months ended September 30, 2020. The $53.6 million, or 108%, decrease was primarily attributable to (i) increased marketing and advertising costs, which contributed to a 87% increase in Medicare—Internal commissionable Approved Submissions and a 30% increase in net revenue, and (ii) increased customer care and enrollment costs attributable to the hiring, onboarding, and training of additional agents to position us to achieve target AEP production.</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31</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4" w:name="page35"/>
    <w:bookmarkEnd w:id="34"/>
    <w:p>
      <w:pPr>
        <w:jc w:val="both"/>
        <w:ind w:right="80"/>
        <w:spacing w:after="0" w:line="253" w:lineRule="auto"/>
        <w:rPr>
          <w:sz w:val="20"/>
          <w:szCs w:val="20"/>
          <w:color w:val="auto"/>
        </w:rPr>
      </w:pPr>
      <w:r>
        <w:rPr>
          <w:rFonts w:ascii="Arial" w:cs="Arial" w:eastAsia="Arial" w:hAnsi="Arial"/>
          <w:sz w:val="16"/>
          <w:szCs w:val="16"/>
          <w:color w:val="auto"/>
        </w:rPr>
        <w:t>Segment profit for the Medicare—External segment was $1.9 million for the three months ended September 30, 2021 compared to $0.7 million for the three months ended September 30, 2020. The change was primarily attributable to a 134% increase in commissionable Approved Submissions in the Medicare— External segment, which drove a 128% increase in commissions revenue.</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Segment profit for the IFP and Other—Internal segment was $2.2 million for the three months ended September 30, 2021 compared to a loss of $0.2 million for the three months ended September 30, 2020. The change was primarily attributable to a reduction in operating costs driven by less investment in this segment, as we have implemented an overall strategic shift towards higher margin Medicare products.</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Segment loss for the IFP and Other—External segment was $0.3 million for the three months ended September 30, 2021 compared to a profit of $0.1 million for the three months ended September 30, 2020. The change was primarily attributable to a change in product mix sold by external agencies, as well as an overall strategic shift towards higher margin Medicare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 months ended September 30, 2021 compared to nine months ended September 30,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1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 30,</w:t>
            </w:r>
          </w:p>
        </w:tc>
        <w:tc>
          <w:tcPr>
            <w:tcW w:w="20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 30,</w:t>
            </w: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7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4"/>
                <w:szCs w:val="14"/>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6"/>
        </w:trPr>
        <w:tc>
          <w:tcPr>
            <w:tcW w:w="7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Net revenues:</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476,391</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77.8 %</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316,211</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73.3 %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117,116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13,505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21,798</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5,803</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16,113</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83"/>
        </w:trPr>
        <w:tc>
          <w:tcPr>
            <w:tcW w:w="704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612,815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431,427</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6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Segment profit (loss):</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Medicare—Internal</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73,574</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12.0 %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123,946</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28.8 %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Medicare—External</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IFP and Other—Internal</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657</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IFP and Other—External</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profit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73,551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125,808</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29.2 %</w:t>
            </w: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expense</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69,176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241,942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56.1 %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Change in fair value of contingent consideration liability</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19,700</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89"/>
        </w:trPr>
        <w:tc>
          <w:tcPr>
            <w:tcW w:w="7040" w:type="dxa"/>
            <w:vAlign w:val="bottom"/>
          </w:tcPr>
          <w:p>
            <w:pPr>
              <w:ind w:left="24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11,935</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7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89"/>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(102,016)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(230,261)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Revenues</w:t>
      </w:r>
    </w:p>
    <w:p>
      <w:pPr>
        <w:spacing w:after="0" w:line="237"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Net revenues for the Medicare—Internal segment were $476.4 million for the nine months ended September 30, 2021 compared to $316.2 million for the nine months ended September 30, 2020. The $160.2 million, or 51%, increase was primarily attributable to the hiring of additional agents, the increased utilization and efficiency of our agents and the implementation of new marketing strategies to generate a greater number of qualified prospects, which contributed to a 71% increase in commissionable Approved Submissions.</w:t>
      </w:r>
    </w:p>
    <w:p>
      <w:pPr>
        <w:spacing w:after="0" w:line="202"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Net revenues for the Medicare—External segment were $117.1 million for the nine months ended September 30, 2021 compared to $77.3 million for the nine months ended September 30, 2020. The $39.8 million, or 51%, increase was primarily attributable to a 44% increase in commissionable Approved Submissions in the Medicare—External segment due to our ability to recruit and onboard additional external agents to enroll consumers in Medicare plans using our technology and platform.</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Net revenues for the IFP and Other—Internal segment were $13.5 million for the nine months ended September 30, 2021 compared to $21.8 million for the nine months ended September 30, 2020. Net revenues for the IFP and Other—External segment were $5.8 million for the nine months ended September 30, 2021 compared to $16.1 million for the nine months ended September 30, 2020. For each of the IFP and Other segments, the decreases were primarily driven by a change in product mix sold, as well as a strategic shift towards higher margin Medicare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Profit (Loss)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32</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5" w:name="page36"/>
    <w:bookmarkEnd w:id="35"/>
    <w:p>
      <w:pPr>
        <w:spacing w:after="0" w:line="250" w:lineRule="auto"/>
        <w:rPr>
          <w:sz w:val="20"/>
          <w:szCs w:val="20"/>
          <w:color w:val="auto"/>
        </w:rPr>
      </w:pPr>
      <w:r>
        <w:rPr>
          <w:rFonts w:ascii="Arial" w:cs="Arial" w:eastAsia="Arial" w:hAnsi="Arial"/>
          <w:sz w:val="16"/>
          <w:szCs w:val="16"/>
          <w:color w:val="auto"/>
        </w:rPr>
        <w:t>Segment profit for the Medicare—Internal segment was $73.6 million for the nine months ended September 30, 2021 compared to $123.9 million for the nine months ended September 30, 2020. The $50.4 million, or 41%, decrease was primarily attributable to (i) increased marketing and advertising costs, which contributed to a 71% increase in Medicare—Internal commissionable Approved Submissions and a 51% increase in net revenue, and (ii) increased customer care and enrollment costs attributable to the hiring, onboarding, and training of additional agents to position us to achieve target AEP production, as well as expenses associated with an increased rate in attrition of agents.</w:t>
      </w:r>
    </w:p>
    <w:p>
      <w:pPr>
        <w:spacing w:after="0" w:line="20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Segment loss for the Medicare—External segment was $0.5 million for the nine months ended September 30, 2021 compared to a profit of $0.9 million for the nine months ended September 30, 2020. The change was primarily attributable to an increase in marketing and advertising costs.</w:t>
      </w:r>
    </w:p>
    <w:p>
      <w:pPr>
        <w:spacing w:after="0" w:line="19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Segment profit for the IFP and Other—Internal segment was $0.7 million for the nine months ended September 30, 2021 compared to $0.2 million for the nine months ended September 30, 2020. The change was primarily attributable to a reduction in operating costs driven by less investment in this segment, as we have implemented an overall strategic shift towards higher margin Medicare products.</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Segment loss for the IFP and Other—External segment was $0.2 million for the nine months ended September 30, 2021 compared to a profit of $0.8 million for the nine months ended September 30, 2020. The change was primarily attributable to a change in product mix sold by external agencies, as well as an overall strategic shift towards higher margin Medicare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and Operating Metrics by Segment</w:t>
      </w:r>
    </w:p>
    <w:p>
      <w:pPr>
        <w:spacing w:after="0" w:line="241"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Medicare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Consumer Acquisition Cost</w:t>
      </w:r>
    </w:p>
    <w:p>
      <w:pPr>
        <w:spacing w:after="0" w:line="23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Lifetime value of commissions per consumer acquisition cost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LTV/CAC for the Medicare—Internal segment was 1.1x (with a CAC of $119.3 million) for the three months ended September 30, 2021 compared to 3.7x (with a CAC of $20.9 million) for the three months ended September 30, 2020. The decrease in LTV/CAC was primarily attributable to the hiring and training of additional agents in the Medicare—Internal segment to be well-positioned for target AEP capacity, as well as an increase in our advertising costs for the Medicare—Internal segment to generate more qualified prospects, which contributed to a 87% increase in Medicare—Internal commissionable Approved Submissions and 19% increase in Medicare—Internal revenue.</w:t>
      </w:r>
    </w:p>
    <w:p>
      <w:pPr>
        <w:spacing w:after="0" w:line="203"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LTV/CAC for the Medicare—Internal segment was 1.4x (with a CAC of $267.7 million) for the nine months ended September 30, 2021 compared to 3.0x (with a CAC of $71.5 million) for the nine months ended September 30, 2020. The decrease in LTV/CAC is attributable to the same factors described above.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33</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6" w:name="page37"/>
    <w:bookmarkEnd w:id="36"/>
    <w:p>
      <w:pPr>
        <w:ind w:right="2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6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Sep. 30,</w:t>
            </w:r>
          </w:p>
        </w:tc>
        <w:tc>
          <w:tcPr>
            <w:tcW w:w="25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actuals)</w:t>
            </w: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149,680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97,675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475,717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314,088</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4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6,164</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6,437</w:t>
            </w: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Medicare—Commissionable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152,251</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100,926</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485,381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326,689</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20,806</w:t>
            </w:r>
          </w:p>
        </w:tc>
      </w:tr>
      <w:tr>
        <w:trPr>
          <w:trHeight w:val="189"/>
        </w:trPr>
        <w:tc>
          <w:tcPr>
            <w:tcW w:w="606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4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5,262</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2,787</w:t>
            </w:r>
          </w:p>
        </w:tc>
      </w:tr>
      <w:tr>
        <w:trPr>
          <w:trHeight w:val="1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Medicare—Non-commissionable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3,401</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28,855</w:t>
            </w:r>
          </w:p>
        </w:tc>
      </w:tr>
      <w:tr>
        <w:trPr>
          <w:trHeight w:val="20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Medicare Submitted Policies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155,652</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110,148</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503,321</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355,544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Total Medicare Submitted Policies were 155,652 and 110,148 for the three months ended September 30, 2021 and 2020, respectively, and 503,321 and 355,544 for the nine months ended September 30, 2021 and 2020, respectively. The increase is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successful hiring, onboarding, and training of additional agents contributed to the increase in Submitted Policies. We were also able to drive an increase in total Submitted Policies in the Medicare—External segment due to our ability to recruit and onboard additional external agents to enroll consumers in Medicare plans using our technology and platform.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Approved Submissions</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or effectuate,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each of the Medicare segments for the periods presented. Only commissionable policies are used to calculate our LTV.</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Medicare—Internal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26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Sep. 30,</w:t>
            </w:r>
          </w:p>
        </w:tc>
        <w:tc>
          <w:tcPr>
            <w:tcW w:w="25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actuals)</w:t>
            </w: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145,619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77,186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395,804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228,612</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1,602</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6,525</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w:t>
            </w:r>
          </w:p>
        </w:tc>
      </w:tr>
      <w:tr>
        <w:trPr>
          <w:trHeight w:val="183"/>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Total Medicare—Internal Commissionable Approved Submissions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148,010</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79,075</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403,031</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235,533</w:t>
            </w:r>
          </w:p>
        </w:tc>
      </w:tr>
      <w:tr>
        <w:trPr>
          <w:trHeight w:val="20"/>
        </w:trPr>
        <w:tc>
          <w:tcPr>
            <w:tcW w:w="6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Medicare—Internal commissionable Approved Submissions were 148,010 and 79,075 for the three months ended September 30, 2021 and 2020, respectively, and 403,031 and 235,533 for the nine months ended September 30, 2021 and 2020, respectively. The increase was attributable to the hiring of additional agents, the increased efficiency of our agents due to technology improvements and improved multichannel marketing strategies that allowed us to generate a greater number of high quality prospects.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i w:val="1"/>
          <w:iCs w:val="1"/>
          <w:color w:val="auto"/>
        </w:rPr>
        <w:t>Medicare—External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27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Sep. 30,</w:t>
            </w:r>
          </w:p>
        </w:tc>
        <w:tc>
          <w:tcPr>
            <w:tcW w:w="25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actuals)</w:t>
            </w:r>
          </w:p>
        </w:tc>
        <w:tc>
          <w:tcPr>
            <w:tcW w:w="12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121,179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80,656</w:t>
            </w:r>
          </w:p>
        </w:tc>
      </w:tr>
      <w:tr>
        <w:trPr>
          <w:trHeight w:val="189"/>
        </w:trPr>
        <w:tc>
          <w:tcPr>
            <w:tcW w:w="604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126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4,035</w:t>
            </w:r>
          </w:p>
        </w:tc>
      </w:tr>
      <w:tr>
        <w:trPr>
          <w:trHeight w:val="189"/>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83"/>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Total Medicare—External Commissionable Approved Submissions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48,106</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20,586</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123,718</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85,897</w:t>
            </w: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Medicare—External commissionable Approved Submissions were 48,106 and 20,586 for the three months ended September 30, 2021 and 2020, respectively, and 123,718 and 85,897 for the nine months ended September 30, 2021 and 2020, respectively. The increase in Medicare—External commissionable Approved Submissions was attributable to our ability to recruit and onboard additional external agents to enroll consumers in Medicare plans.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Lifetime Value of Commissions Per Approved Submission</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Lifetime value of commissions per commissionable Approved Submission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LTV Per Approved Submission by product for the Medicare segments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 30,</w:t>
            </w:r>
          </w:p>
        </w:tc>
        <w:tc>
          <w:tcPr>
            <w:tcW w:w="200" w:type="dxa"/>
            <w:vAlign w:val="bottom"/>
          </w:tcPr>
          <w:p>
            <w:pPr>
              <w:spacing w:after="0"/>
              <w:rPr>
                <w:sz w:val="16"/>
                <w:szCs w:val="16"/>
                <w:color w:val="auto"/>
              </w:rPr>
            </w:pPr>
          </w:p>
        </w:tc>
        <w:tc>
          <w:tcPr>
            <w:tcW w:w="23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actuals)</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926</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913</w:t>
            </w:r>
          </w:p>
        </w:tc>
      </w:tr>
      <w:tr>
        <w:trPr>
          <w:trHeight w:val="189"/>
        </w:trPr>
        <w:tc>
          <w:tcPr>
            <w:tcW w:w="6020" w:type="dxa"/>
            <w:vAlign w:val="bottom"/>
          </w:tcPr>
          <w:p>
            <w:pPr>
              <w:ind w:left="20"/>
              <w:spacing w:after="0"/>
              <w:rPr>
                <w:sz w:val="20"/>
                <w:szCs w:val="20"/>
                <w:color w:val="auto"/>
              </w:rPr>
            </w:pPr>
            <w:r>
              <w:rPr>
                <w:rFonts w:ascii="Arial" w:cs="Arial" w:eastAsia="Arial" w:hAnsi="Arial"/>
                <w:sz w:val="14"/>
                <w:szCs w:val="14"/>
                <w:color w:val="auto"/>
              </w:rPr>
              <w:t>Medicare Supplement</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874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834</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929</w:t>
            </w: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Prescription Drug Plans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r>
    </w:tbl>
    <w:p>
      <w:pPr>
        <w:spacing w:after="0" w:line="29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LTV Per Approved Submission for Medicare Advantage were $926 and $987 for the three months ended September 30, 2021 and 2020, respectively. The decrease was primarily driven by carrier and consumer mix, as well as unfavorable effectuation and persistency trends.</w:t>
      </w:r>
    </w:p>
    <w:p>
      <w:pPr>
        <w:spacing w:after="0" w:line="19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LTV Per Approved Submission for Medicare Advantage were $957 and $913 for the nine months ended September 30, 2021 and 2020, respectively. The increase was primarily due to an increase in commission rates, partially offset by unfavorable persistency trends.</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LTV Per Approved Submission for Medicare Supplement were $874 and $934 for the three months ended September 30, 2021 and 2020, respectively, and $834 and $929 for the nine months ended September 30, 2021 and 2020, respectively. The decrease was primarily due to changes in carrier mix.</w:t>
      </w:r>
    </w:p>
    <w:p>
      <w:pPr>
        <w:spacing w:after="0" w:line="195"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LTV Per Approved Submission for prescription drug plans were relatively unchanged for both the three months ended September 30, 2021 compared to 2020 and the nine months ended September 30, 2021 compared to 2020.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IFP and Other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Submitted Policies</w:t>
      </w:r>
    </w:p>
    <w:p>
      <w:pPr>
        <w:spacing w:after="0" w:line="23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Total Submitted Policies for the IFP and Other segments were 7,330 and 20,313 for the three months ended September 30, 2021 and 2020,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a change in strategy to prioritize agents and marketing and advertising spend in the higher margin Medicare segments.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Total Submitted Policies for the IFP and Other segments were 40,652 and 83,366 for the nine months ended September 30, 2021 and 2020,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a change in strategy to prioritize agents and marketing and advertising spend in the higher margin Medicare segments.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liquidity needs primarily include working capital and debt service requirements. At September 30, 2021, cash and cash equivalents totaled $85.2 million. On July 17, 2020, we completed our IPO, which resulted in the issuance and sale of 43,500 shares of common stock at the IPO price of $21.00, and generated net proceeds of $852.4 million after deducting underwriting discounts and other offering costs.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Revolving Credit Facilities, as described further below, if necessary. As of September 30, 2021, we had $25.0 million outstanding under the Revolving Credit Facilities and had a remaining capacity of $175.0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nine months ended September 30, 2021 and 2020 :</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Sep. 30,</w:t>
            </w:r>
          </w:p>
        </w:tc>
      </w:tr>
      <w:tr>
        <w:trPr>
          <w:trHeight w:val="18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ind w:left="348"/>
              <w:spacing w:after="0"/>
              <w:rPr>
                <w:sz w:val="20"/>
                <w:szCs w:val="20"/>
                <w:color w:val="auto"/>
              </w:rPr>
            </w:pPr>
            <w:r>
              <w:rPr>
                <w:rFonts w:ascii="Arial" w:cs="Arial" w:eastAsia="Arial" w:hAnsi="Arial"/>
                <w:sz w:val="14"/>
                <w:szCs w:val="14"/>
                <w:color w:val="auto"/>
              </w:rPr>
              <w:t>(72,419)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28,835</w:t>
            </w:r>
          </w:p>
        </w:tc>
      </w:tr>
      <w:tr>
        <w:trPr>
          <w:trHeight w:val="189"/>
        </w:trPr>
        <w:tc>
          <w:tcPr>
            <w:tcW w:w="8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48"/>
              <w:spacing w:after="0"/>
              <w:rPr>
                <w:sz w:val="20"/>
                <w:szCs w:val="20"/>
                <w:color w:val="auto"/>
              </w:rPr>
            </w:pPr>
            <w:r>
              <w:rPr>
                <w:rFonts w:ascii="Arial" w:cs="Arial" w:eastAsia="Arial" w:hAnsi="Arial"/>
                <w:sz w:val="14"/>
                <w:szCs w:val="14"/>
                <w:color w:val="auto"/>
              </w:rPr>
              <w:t>(19,269)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(12,023)</w:t>
            </w:r>
          </w:p>
        </w:tc>
      </w:tr>
      <w:tr>
        <w:trPr>
          <w:trHeight w:val="189"/>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32,743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265,578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provided by operating activities primarily consists of net loss adjusted for non-cash items including share-based compensation; depreciation and amortization; amortization of intangible assets; change in the fair value of contingent consideration; amortization of debt discount and issuance costs; loss on extinguishment of debt; loss on sublease; and the effect of changes in working capital and other activities.</w:t>
      </w:r>
    </w:p>
    <w:p>
      <w:pPr>
        <w:spacing w:after="0" w:line="20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20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Net cash used in operating activities was $72.4 million for the nine months ended September 30, 2021, which consisted of a $101.9 million net loss and positive adjustments for non-cash items of $111.3 million, offset by negative adjustments for operating assets and liabilities of $81.8 million. The change in operating assets and liabilities was primarily driven by an increase in commissions receivable of $161.0 million partially offset by a decrease in prepaid expenses and other assets of $10.5 million, an increase in commissions payable of $36.2 million, an increase in accounts payable of $18.3 million, a decrease in accounts receivable of $6.2 million and an increase in accrued liabilities of $5.7 million.</w:t>
      </w:r>
    </w:p>
    <w:p>
      <w:pPr>
        <w:spacing w:after="0" w:line="20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Net cash provided by operating activities was $28.8 million for the nine months ended September 30, 2020, which consisted of $230.3 million in net loss and adjustments for non-cash items of $306.9 million, offset by the effect of changes in operating assets and liabilities representing a $47.8 million use of cash. The change in operating assets and liabilities was primarily driven by an increase in commissions receivable of $117.9 million, partially offset by an increase in deferred revenue of $40.2 million and an increase in commissions payable of $28.0 million. The increases in commissions receivable and commissions payable were each driven by increases in Medicare commissionable Approved Submissions. The increase in deferred revenue represents carrier-specific marketing development funds received in advance of satisfying the related performance obligation.</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36</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Investing Activities</w:t>
      </w:r>
    </w:p>
    <w:p>
      <w:pPr>
        <w:spacing w:after="0" w:line="23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Net cash used in investing activities was $19.3 million for the nine months ended September 30, 2021 and consisted of capitalized internal-use software related to new technology, software, and systems and purchases of property and equipment.</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Net cash used in investing activities of $12.0 million for the nine months ended September 30, 2020 was primarily attributable to both capitalized internal-use software related to new technology, software, and systems and purchases of property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Net cash provided by financing activities was $32.7 million for the nine months ended September 30, 2021 and was primarily due to proceeds from borrowings of $335.0 million and the collection of the short-term advancement to NVX Holdings, partially offset by repayment of borrowings of $297.9 million and call premium paid for debt extinguishment of $5.9 million as further described below .</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Net cash provided by financing activities of $265.6 million for the nine months ended September 30, 2020 was due to proceeds from the issuance of Class A common stock sold in the IPO, net of offering costs, of $852.4 million. Of the $852.4 million of IPO proceeds, $508.3 million was used to purchase LLC Interests, $100.0 million was used to settle the Senior Preferred Earnout Units, and $96.2 million was used as partial consideration for the Blocker Merger. Additionally, the Company made borrowings of $117.0 million under the Incremental Term Loan Facility during the nine months ended September 30,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Term Loan Facilities</w:t>
      </w:r>
    </w:p>
    <w:p>
      <w:pPr>
        <w:spacing w:after="0" w:line="23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 June 11, 2021, the Company entered into Amendment No. 5 to the Credit Agreement and Incremental Facility Agreement (“Amendment No. 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Amendment No. 5 creates a new class of incremental term loans (the “2021 Incremental Term Loans”) in an aggregate principal amount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$310.0 million, which was used to refinance $295.5 million of outstanding principal under the Initial Term Loan Facility, pay the related accrued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fund the prepayment premium. In connection with Amendment No. 5 and the refinancing of the Initial Term Loan, the Company recognized an $11.9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representing the 2% prepayment premium of $5.9 million and the write-down of deferred financing costs and debt discounts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$6.0 million. The Company incurred $1.7 million of debt issuance costs associated with Amendment No. 5, which are being amortized over the life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debt to interest expense using the effective interest method.</w:t>
      </w:r>
    </w:p>
    <w:p>
      <w:pPr>
        <w:spacing w:after="0" w:line="221"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Company collectively refers to the Initial Term Loan Facility, the Incremental Term Loan Facility, and the 2021 Incremental Term Loans as the “Term Loan Facilities”.</w:t>
      </w:r>
    </w:p>
    <w:p>
      <w:pPr>
        <w:spacing w:after="0" w:line="19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September 30, 2021, the Company had a principal amount of $115.2 million and $309.2 million outstanding under the Incremental Term Loan Facility and the 2021 Incremental Term Loans, respectively. The Incremental Term Loan Facility effective interest rate was 7.5% at both September 30, 2021 and December 31, 2020. The 2021 Incremental Term Loans’ effective interest rate was 5.0% at September 30, 2021.</w:t>
      </w: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Borrowings under the Initial Term Loan and the Incremental Term Loan Facility are, at the option of the Borrower, either (i) alternate base rate (“ABR”) plus 5.50% per annum or (ii) LIBOR plus 6.50% per annum. The 2021 Incremental Term Loans bear interest at either (i) ABR plus 3.00% per annum or (ii) LIBOR plus 4.00% per annum.</w:t>
      </w:r>
    </w:p>
    <w:p>
      <w:pPr>
        <w:spacing w:after="0" w:line="201"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Revolving Credit Facilities</w:t>
      </w: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37</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40" w:name="page41"/>
    <w:bookmarkEnd w:id="40"/>
    <w:p>
      <w:pPr>
        <w:ind w:right="120"/>
        <w:spacing w:after="0" w:line="260" w:lineRule="auto"/>
        <w:rPr>
          <w:sz w:val="20"/>
          <w:szCs w:val="20"/>
          <w:color w:val="auto"/>
        </w:rPr>
      </w:pPr>
      <w:r>
        <w:rPr>
          <w:rFonts w:ascii="Arial" w:cs="Arial" w:eastAsia="Arial" w:hAnsi="Arial"/>
          <w:sz w:val="16"/>
          <w:szCs w:val="16"/>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9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Company collectively refers to the Revolving Credit Facility, the Incremental Revolving Credit Facilities, and the Incremental No. 4 Revolving Credit Facility as the “Revolving Credit Facilities”.</w:t>
      </w:r>
    </w:p>
    <w:p>
      <w:pPr>
        <w:spacing w:after="0" w:line="19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20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had $25.0 million outstanding under the Revolving Credit Facilities, which have a remaining capacity of $175.0 million in the aggregate as of September 30, 2021. Outstanding borrowings under the Revolving Credit Facilities do not amortize and are due and payable on September 13, 2024.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a discussion of new accounting pronouncements recently adopted and not yet adopted, see Note 1, “Description Of Business And Significant Accounting Policies,” to the Condensed Consolidated Financial Statements included elsewhere in this Quarterly Report on Form 10-Q.</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203"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goodwill and intangible assets, (4) income taxes and (5) liabilities pursuant to TRAs.</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in our 2020 Form 10-K. During the three and nine months ended September 30, 2021, there were no material changes to our critical accounting policies from those discussed in our 2020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24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We qualify as an “emerging growth company” pursuant to the provisions of the JOBS Act, enacted on April 5, 2012. Section 102 of the JOBS Act provides that an “emerging growth company” can take advantage of the extended transition period provided in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38</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1" w:name="page42"/>
    <w:bookmarkEnd w:id="41"/>
    <w:p>
      <w:pPr>
        <w:ind w:right="400"/>
        <w:spacing w:after="0" w:line="251" w:lineRule="auto"/>
        <w:rPr>
          <w:sz w:val="20"/>
          <w:szCs w:val="20"/>
          <w:color w:val="auto"/>
        </w:rPr>
      </w:pPr>
      <w:r>
        <w:rPr>
          <w:rFonts w:ascii="Arial" w:cs="Arial" w:eastAsia="Arial" w:hAnsi="Arial"/>
          <w:sz w:val="16"/>
          <w:szCs w:val="16"/>
          <w:color w:val="auto"/>
        </w:rPr>
        <w:t>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Condensed Consolidated Financial Statements may not be comparable to companies that comply with new or revised accounting pronouncements as of public company effective dates.</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have elected the other exemptions and reduced reporting requirements provided by the JOBS Act. Subject to certain conditions set forth in the JOBS Act, as an emerging growth company we are not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IPO,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over a rolling 36-month period.</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the normal course of business, we are subject to market risks. Market risk represents the risk of loss that may impact our financial position due to adverse changes in financial market prices and rates. There have been no material changes to our market risk policies or our market risk-sensitive instruments and positions as described in our 2020 Form 10-K.</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4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4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September 30, 2021.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39</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869315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6"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Refer to Note 10, “Commitments And Contingencies,” of the Notes to Condensed Consolidated Financial Statements for information about legal proceedings.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There have been no material changes to the risk factors set forth in our 2020 Form 10-K. Before investing in our Class A common stock, we recommend that investors carefully consider the risks described in the 2020 Form 10-K filed with the SEC, including those under the heading “Item 1A. Risk Factors.” Realization of any of these risks could have a material adverse effect on our financial condition or results of operations. Additional risks and uncertainties not currently known to us or that we deem to be immaterial could also materially adversely affect our business, financial condition, or results of operations.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6"/>
          <w:szCs w:val="16"/>
          <w:b w:val="1"/>
          <w:bCs w:val="1"/>
          <w:color w:val="FFFF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8"/>
          </w:tcPr>
          <w:p>
            <w:pPr>
              <w:ind w:left="1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10"/>
          </w:tcPr>
          <w:p>
            <w:pPr>
              <w:spacing w:after="0"/>
              <w:rPr>
                <w:rFonts w:ascii="Arial" w:cs="Arial" w:eastAsia="Arial" w:hAnsi="Arial"/>
                <w:sz w:val="14"/>
                <w:szCs w:val="14"/>
                <w:color w:val="0000FF"/>
              </w:rPr>
            </w:pPr>
            <w:hyperlink r:id="rId128">
              <w:r>
                <w:rPr>
                  <w:rFonts w:ascii="Arial" w:cs="Arial" w:eastAsia="Arial" w:hAnsi="Arial"/>
                  <w:sz w:val="14"/>
                  <w:szCs w:val="14"/>
                  <w:color w:val="0000FF"/>
                </w:rPr>
                <w:t>Amended and Restated Certificate of Incorporation of GoHealth, Inc.</w:t>
              </w:r>
            </w:hyperlink>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3"/>
          </w:tcPr>
          <w:p>
            <w:pPr>
              <w:spacing w:after="0"/>
              <w:rPr>
                <w:rFonts w:ascii="Arial" w:cs="Arial" w:eastAsia="Arial" w:hAnsi="Arial"/>
                <w:sz w:val="14"/>
                <w:szCs w:val="14"/>
                <w:color w:val="0000FF"/>
              </w:rPr>
            </w:pPr>
            <w:hyperlink r:id="rId129">
              <w:r>
                <w:rPr>
                  <w:rFonts w:ascii="Arial" w:cs="Arial" w:eastAsia="Arial" w:hAnsi="Arial"/>
                  <w:sz w:val="14"/>
                  <w:szCs w:val="14"/>
                  <w:color w:val="0000FF"/>
                </w:rPr>
                <w:t>Amended and Restated Bylaws of GoHealth, Inc.</w:t>
              </w:r>
            </w:hyperlink>
          </w:p>
        </w:tc>
        <w:tc>
          <w:tcPr>
            <w:tcW w:w="1220" w:type="dxa"/>
            <w:vAlign w:val="bottom"/>
            <w:tcBorders>
              <w:top w:val="single" w:sz="8" w:color="0000FF"/>
            </w:tcBorders>
            <w:gridSpan w:val="2"/>
          </w:tcPr>
          <w:p>
            <w:pPr>
              <w:spacing w:after="0"/>
              <w:rPr>
                <w:sz w:val="17"/>
                <w:szCs w:val="17"/>
                <w:color w:val="auto"/>
              </w:rPr>
            </w:pPr>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0"/>
          </w:tcPr>
          <w:p>
            <w:pPr>
              <w:spacing w:after="0"/>
              <w:rPr>
                <w:rFonts w:ascii="Arial" w:cs="Arial" w:eastAsia="Arial" w:hAnsi="Arial"/>
                <w:sz w:val="14"/>
                <w:szCs w:val="14"/>
                <w:color w:val="0000FF"/>
              </w:rPr>
            </w:pPr>
            <w:hyperlink r:id="rId130">
              <w:r>
                <w:rPr>
                  <w:rFonts w:ascii="Arial" w:cs="Arial" w:eastAsia="Arial" w:hAnsi="Arial"/>
                  <w:sz w:val="14"/>
                  <w:szCs w:val="14"/>
                  <w:color w:val="0000FF"/>
                </w:rPr>
                <w:t>Specimen Stock Certificate evidencing the shares of Class A common</w:t>
              </w:r>
            </w:hyperlink>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Borders>
              <w:top w:val="single" w:sz="8" w:color="0000FF"/>
            </w:tcBorders>
            <w:gridSpan w:val="6"/>
            <w:vMerge w:val="restart"/>
          </w:tcPr>
          <w:p>
            <w:pPr>
              <w:spacing w:after="0" w:line="142" w:lineRule="exact"/>
              <w:rPr>
                <w:rFonts w:ascii="Arial" w:cs="Arial" w:eastAsia="Arial" w:hAnsi="Arial"/>
                <w:sz w:val="14"/>
                <w:szCs w:val="14"/>
                <w:color w:val="0000FF"/>
              </w:rPr>
            </w:pPr>
            <w:hyperlink r:id="rId130">
              <w:r>
                <w:rPr>
                  <w:rFonts w:ascii="Arial" w:cs="Arial" w:eastAsia="Arial" w:hAnsi="Arial"/>
                  <w:sz w:val="14"/>
                  <w:szCs w:val="14"/>
                  <w:color w:val="0000FF"/>
                </w:rPr>
                <w:t>stock.</w:t>
              </w:r>
            </w:hyperlink>
          </w:p>
        </w:tc>
        <w:tc>
          <w:tcPr>
            <w:tcW w:w="38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gridSpan w:val="6"/>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jc w:val="center"/>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24"/>
                <w:szCs w:val="24"/>
                <w:color w:val="auto"/>
              </w:rPr>
            </w:pPr>
          </w:p>
        </w:tc>
        <w:tc>
          <w:tcPr>
            <w:tcW w:w="4880" w:type="dxa"/>
            <w:vAlign w:val="bottom"/>
            <w:gridSpan w:val="12"/>
          </w:tcPr>
          <w:p>
            <w:pPr>
              <w:spacing w:after="0"/>
              <w:rPr>
                <w:rFonts w:ascii="Arial" w:cs="Arial" w:eastAsia="Arial" w:hAnsi="Arial"/>
                <w:sz w:val="14"/>
                <w:szCs w:val="14"/>
                <w:color w:val="0000FF"/>
              </w:rPr>
            </w:pPr>
            <w:hyperlink w:anchor="page46">
              <w:r>
                <w:rPr>
                  <w:rFonts w:ascii="Arial" w:cs="Arial" w:eastAsia="Arial" w:hAnsi="Arial"/>
                  <w:sz w:val="14"/>
                  <w:szCs w:val="14"/>
                  <w:color w:val="0000FF"/>
                </w:rPr>
                <w:t>Certification of Chief Executive Officer pursuant to Exchange Act Rule 13a-</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6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w:anchor="page46">
              <w:r>
                <w:rPr>
                  <w:rFonts w:ascii="Arial" w:cs="Arial" w:eastAsia="Arial" w:hAnsi="Arial"/>
                  <w:sz w:val="14"/>
                  <w:szCs w:val="14"/>
                  <w:color w:val="0000FF"/>
                </w:rPr>
                <w:t>14(a).</w:t>
              </w:r>
            </w:hyperlink>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7"/>
                <w:szCs w:val="17"/>
                <w:color w:val="auto"/>
              </w:rPr>
            </w:pPr>
          </w:p>
        </w:tc>
        <w:tc>
          <w:tcPr>
            <w:tcW w:w="4720" w:type="dxa"/>
            <w:vAlign w:val="bottom"/>
            <w:tcBorders>
              <w:bottom w:val="single" w:sz="8" w:color="0000FF"/>
            </w:tcBorders>
            <w:gridSpan w:val="10"/>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Certification of Chief Financial Officer pursuant to Exchange Act Rule 13a-</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80" w:type="dxa"/>
            <w:vAlign w:val="bottom"/>
            <w:gridSpan w:val="12"/>
          </w:tcPr>
          <w:p>
            <w:pPr>
              <w:spacing w:after="0" w:line="142" w:lineRule="exact"/>
              <w:rPr>
                <w:rFonts w:ascii="Arial" w:cs="Arial" w:eastAsia="Arial" w:hAnsi="Arial"/>
                <w:sz w:val="14"/>
                <w:szCs w:val="14"/>
                <w:color w:val="0000FF"/>
              </w:rPr>
            </w:pPr>
            <w:hyperlink w:anchor="page47">
              <w:r>
                <w:rPr>
                  <w:rFonts w:ascii="Arial" w:cs="Arial" w:eastAsia="Arial" w:hAnsi="Arial"/>
                  <w:sz w:val="14"/>
                  <w:szCs w:val="14"/>
                  <w:color w:val="0000FF"/>
                </w:rPr>
                <w:t>14(a).</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7"/>
                <w:szCs w:val="17"/>
                <w:color w:val="auto"/>
              </w:rPr>
            </w:pPr>
          </w:p>
        </w:tc>
        <w:tc>
          <w:tcPr>
            <w:tcW w:w="4060" w:type="dxa"/>
            <w:vAlign w:val="bottom"/>
            <w:tcBorders>
              <w:bottom w:val="single" w:sz="8" w:color="0000FF"/>
            </w:tcBorders>
            <w:gridSpan w:val="6"/>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Certification of Principal Executive Officer pursuant to 18 U.S.C.</w:t>
              </w:r>
            </w:hyperlink>
          </w:p>
        </w:tc>
        <w:tc>
          <w:tcPr>
            <w:tcW w:w="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0000FF"/>
            </w:tcBorders>
            <w:gridSpan w:val="4"/>
          </w:tcPr>
          <w:p>
            <w:pPr>
              <w:spacing w:after="0" w:line="142" w:lineRule="exact"/>
              <w:rPr>
                <w:rFonts w:ascii="Arial" w:cs="Arial" w:eastAsia="Arial" w:hAnsi="Arial"/>
                <w:sz w:val="14"/>
                <w:szCs w:val="14"/>
                <w:color w:val="0000FF"/>
              </w:rPr>
            </w:pPr>
            <w:hyperlink w:anchor="page48">
              <w:r>
                <w:rPr>
                  <w:rFonts w:ascii="Arial" w:cs="Arial" w:eastAsia="Arial" w:hAnsi="Arial"/>
                  <w:sz w:val="14"/>
                  <w:szCs w:val="14"/>
                  <w:color w:val="0000FF"/>
                </w:rPr>
                <w:t>Section 1350.</w:t>
              </w:r>
            </w:hyperlink>
          </w:p>
        </w:tc>
        <w:tc>
          <w:tcPr>
            <w:tcW w:w="40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4880" w:type="dxa"/>
            <w:vAlign w:val="bottom"/>
            <w:gridSpan w:val="12"/>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Certification of Chief Financial Officer pursuant to 18 U.S.C. Section 1350.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9"/>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20" w:type="dxa"/>
            <w:vAlign w:val="bottom"/>
          </w:tcPr>
          <w:p>
            <w:pPr>
              <w:jc w:val="center"/>
              <w:spacing w:after="0"/>
              <w:rPr>
                <w:sz w:val="20"/>
                <w:szCs w:val="20"/>
                <w:color w:val="auto"/>
              </w:rPr>
            </w:pPr>
            <w:r>
              <w:rPr>
                <w:rFonts w:ascii="Arial" w:cs="Arial" w:eastAsia="Arial" w:hAnsi="Arial"/>
                <w:sz w:val="14"/>
                <w:szCs w:val="14"/>
                <w:color w:val="auto"/>
              </w:rPr>
              <w:t>101.INS</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the Interactive Data File because its XBRL tags are embedded within the</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document.</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101.SCH</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101.CAL</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101.DEF</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101.LAB</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4"/>
                <w:szCs w:val="14"/>
                <w:color w:val="auto"/>
              </w:rPr>
              <w:t>101.PRE</w:t>
            </w:r>
          </w:p>
        </w:tc>
        <w:tc>
          <w:tcPr>
            <w:tcW w:w="8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100" w:right="20" w:hanging="733"/>
        <w:spacing w:after="0" w:line="258" w:lineRule="auto"/>
        <w:tabs>
          <w:tab w:leader="none" w:pos="1100"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62"/>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Filing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r>
      <w:tr>
        <w:trPr>
          <w:trHeight w:val="196"/>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0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7"/>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14"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726" w:lineRule="exact"/>
        <w:rPr>
          <w:sz w:val="20"/>
          <w:szCs w:val="20"/>
          <w:color w:val="auto"/>
        </w:rPr>
      </w:pPr>
    </w:p>
    <w:p>
      <w:pPr>
        <w:sectPr>
          <w:pgSz w:w="11900" w:h="16838" w:orient="portrait"/>
          <w:cols w:equalWidth="0" w:num="2">
            <w:col w:w="5980" w:space="120"/>
            <w:col w:w="5140"/>
          </w:cols>
          <w:pgMar w:left="320" w:top="1363" w:right="339" w:bottom="1440" w:gutter="0" w:footer="0" w:header="0"/>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41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SIGNATURES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5"/>
          <w:szCs w:val="15"/>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November 9,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660" w:type="dxa"/>
        <w:tblCellMar>
          <w:top w:w="0" w:type="dxa"/>
          <w:left w:w="0" w:type="dxa"/>
          <w:bottom w:w="0" w:type="dxa"/>
          <w:right w:w="0" w:type="dxa"/>
        </w:tblCellMar>
      </w:tblPr>
      <w:tr>
        <w:trPr>
          <w:trHeight w:val="189"/>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2021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42</w:t>
            </w:r>
          </w:p>
        </w:tc>
      </w:tr>
    </w:tbl>
    <w:p>
      <w:pPr>
        <w:sectPr>
          <w:pgSz w:w="11900" w:h="16838" w:orient="portrait"/>
          <w:cols w:equalWidth="0" w:num="1">
            <w:col w:w="10980"/>
          </w:cols>
          <w:pgMar w:left="320" w:top="1323"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Clinton P. Jones, certify that:</w:t>
      </w:r>
    </w:p>
    <w:p>
      <w:pPr>
        <w:spacing w:after="0" w:line="221"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9,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Travis J. Matthiesen, certify that:</w:t>
      </w:r>
    </w:p>
    <w:p>
      <w:pPr>
        <w:spacing w:after="0" w:line="221"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21" w:lineRule="exact"/>
        <w:rPr>
          <w:rFonts w:ascii="Arial" w:cs="Arial" w:eastAsia="Arial" w:hAnsi="Arial"/>
          <w:sz w:val="16"/>
          <w:szCs w:val="16"/>
          <w:color w:val="auto"/>
        </w:rPr>
      </w:pPr>
    </w:p>
    <w:p>
      <w:pPr>
        <w:jc w:val="both"/>
        <w:ind w:left="980" w:right="60" w:hanging="486"/>
        <w:spacing w:after="0" w:line="253"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980" w:right="180" w:hanging="486"/>
        <w:spacing w:after="0" w:line="26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980" w:right="80" w:hanging="486"/>
        <w:spacing w:after="0" w:line="26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95" w:lineRule="exact"/>
        <w:rPr>
          <w:rFonts w:ascii="Arial" w:cs="Arial" w:eastAsia="Arial" w:hAnsi="Arial"/>
          <w:sz w:val="16"/>
          <w:szCs w:val="16"/>
          <w:color w:val="auto"/>
        </w:rPr>
      </w:pPr>
    </w:p>
    <w:p>
      <w:pPr>
        <w:ind w:left="1460" w:right="80" w:hanging="480"/>
        <w:spacing w:after="0" w:line="253" w:lineRule="auto"/>
        <w:tabs>
          <w:tab w:leader="none" w:pos="14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460" w:hanging="480"/>
        <w:spacing w:after="0"/>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[omitted];</w:t>
      </w:r>
    </w:p>
    <w:p>
      <w:pPr>
        <w:spacing w:after="0" w:line="221" w:lineRule="exact"/>
        <w:rPr>
          <w:rFonts w:ascii="Arial" w:cs="Arial" w:eastAsia="Arial" w:hAnsi="Arial"/>
          <w:sz w:val="16"/>
          <w:szCs w:val="16"/>
          <w:color w:val="auto"/>
        </w:rPr>
      </w:pPr>
    </w:p>
    <w:p>
      <w:pPr>
        <w:jc w:val="both"/>
        <w:ind w:left="1460" w:hanging="480"/>
        <w:spacing w:after="0" w:line="260" w:lineRule="auto"/>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jc w:val="both"/>
        <w:ind w:left="1460" w:right="200" w:hanging="480"/>
        <w:spacing w:after="0" w:line="253" w:lineRule="auto"/>
        <w:tabs>
          <w:tab w:leader="none" w:pos="14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980" w:right="120" w:hanging="486"/>
        <w:spacing w:after="0" w:line="26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460" w:right="480" w:hanging="480"/>
        <w:spacing w:after="0" w:line="260" w:lineRule="auto"/>
        <w:tabs>
          <w:tab w:leader="none" w:pos="14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460" w:right="120" w:hanging="480"/>
        <w:spacing w:after="0" w:line="260" w:lineRule="auto"/>
        <w:tabs>
          <w:tab w:leader="none" w:pos="14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9,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0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700"/>
        <w:spacing w:after="0" w:line="253"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9, 2021</w:t>
      </w:r>
      <w:r>
        <w:rPr>
          <w:sz w:val="20"/>
          <w:szCs w:val="20"/>
          <w:color w:val="auto"/>
        </w:rPr>
        <w:tab/>
      </w:r>
      <w:r>
        <w:rPr>
          <w:rFonts w:ascii="Arial" w:cs="Arial" w:eastAsia="Arial" w:hAnsi="Arial"/>
          <w:sz w:val="16"/>
          <w:szCs w:val="16"/>
          <w:color w:val="auto"/>
        </w:rPr>
        <w:t>By:</w:t>
        <w:tab/>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Clinton P. Jones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5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1" w:lineRule="exact"/>
        <w:rPr>
          <w:sz w:val="20"/>
          <w:szCs w:val="20"/>
          <w:color w:val="auto"/>
        </w:rPr>
      </w:pPr>
    </w:p>
    <w:p>
      <w:pPr>
        <w:jc w:val="both"/>
        <w:ind w:right="700"/>
        <w:spacing w:after="0" w:line="253"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September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980" w:hanging="567"/>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260" w:lineRule="auto"/>
        <w:tabs>
          <w:tab w:leader="none" w:pos="9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9, 2021</w:t>
      </w:r>
      <w:r>
        <w:rPr>
          <w:sz w:val="20"/>
          <w:szCs w:val="20"/>
          <w:color w:val="auto"/>
        </w:rPr>
        <w:tab/>
      </w:r>
      <w:r>
        <w:rPr>
          <w:rFonts w:ascii="Arial" w:cs="Arial" w:eastAsia="Arial" w:hAnsi="Arial"/>
          <w:sz w:val="16"/>
          <w:szCs w:val="16"/>
          <w:color w:val="auto"/>
        </w:rPr>
        <w:t>By:</w:t>
        <w:tab/>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3"/>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28" Type="http://schemas.openxmlformats.org/officeDocument/2006/relationships/hyperlink" Target="https://www.sec.gov/Archives/edgar/data/1808220/000119312520224832/d935246dex31.htm" TargetMode="External"/><Relationship Id="rId129" Type="http://schemas.openxmlformats.org/officeDocument/2006/relationships/hyperlink" Target="https://www.sec.gov/Archives/edgar/data/1808220/000119312520224832/d935246dex32.htm" TargetMode="External"/><Relationship Id="rId130" Type="http://schemas.openxmlformats.org/officeDocument/2006/relationships/hyperlink" Target="https://www.sec.gov/Archives/edgar/data/1808220/000119312520173051/d7971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2021-11-10T05:20:08Z</dcterms:created>
  <dcterms:modified xsi:type="dcterms:W3CDTF">2021-11-10T05:20:08Z</dcterms:modified>
</cp:coreProperties>
</file>